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65FF" w14:textId="77777777" w:rsidR="000273D8" w:rsidRDefault="000273D8">
      <w:pPr>
        <w:pStyle w:val="Title"/>
        <w:jc w:val="center"/>
        <w:rPr>
          <w:color w:val="9E2F35"/>
          <w:sz w:val="48"/>
          <w:szCs w:val="48"/>
        </w:rPr>
      </w:pPr>
    </w:p>
    <w:p w14:paraId="25C54083" w14:textId="6728BC58" w:rsidR="0086067F" w:rsidRPr="00B732D7" w:rsidRDefault="00DB1D9D" w:rsidP="000273D8">
      <w:pPr>
        <w:pStyle w:val="Title"/>
        <w:jc w:val="center"/>
        <w:rPr>
          <w:color w:val="9E2F35"/>
          <w:sz w:val="48"/>
          <w:szCs w:val="48"/>
        </w:rPr>
      </w:pPr>
      <w:proofErr w:type="spellStart"/>
      <w:r w:rsidRPr="00B732D7">
        <w:rPr>
          <w:color w:val="9E2F35"/>
          <w:sz w:val="48"/>
          <w:szCs w:val="48"/>
        </w:rPr>
        <w:t>Cure</w:t>
      </w:r>
      <w:r w:rsidRPr="00673482">
        <w:rPr>
          <w:i/>
          <w:color w:val="9E2F35"/>
          <w:sz w:val="48"/>
          <w:szCs w:val="48"/>
        </w:rPr>
        <w:t>A</w:t>
      </w:r>
      <w:r w:rsidR="00C319CA">
        <w:rPr>
          <w:i/>
          <w:color w:val="9E2F35"/>
          <w:sz w:val="48"/>
          <w:szCs w:val="48"/>
        </w:rPr>
        <w:t>ll</w:t>
      </w:r>
      <w:proofErr w:type="spellEnd"/>
      <w:r w:rsidR="0086067F" w:rsidRPr="00491971">
        <w:rPr>
          <w:i/>
          <w:color w:val="9E2F35"/>
          <w:sz w:val="48"/>
          <w:szCs w:val="48"/>
        </w:rPr>
        <w:t>:</w:t>
      </w:r>
      <w:r w:rsidR="0086067F" w:rsidRPr="00B732D7">
        <w:rPr>
          <w:color w:val="9E2F35"/>
          <w:sz w:val="48"/>
          <w:szCs w:val="48"/>
        </w:rPr>
        <w:t xml:space="preserve"> </w:t>
      </w:r>
      <w:r w:rsidRPr="00B732D7">
        <w:rPr>
          <w:color w:val="9E2F35"/>
          <w:sz w:val="48"/>
          <w:szCs w:val="48"/>
        </w:rPr>
        <w:t>Closing Inequit</w:t>
      </w:r>
      <w:r w:rsidR="00CE0288">
        <w:rPr>
          <w:color w:val="9E2F35"/>
          <w:sz w:val="48"/>
          <w:szCs w:val="48"/>
        </w:rPr>
        <w:t>ies</w:t>
      </w:r>
      <w:r w:rsidRPr="00B732D7">
        <w:rPr>
          <w:color w:val="9E2F35"/>
          <w:sz w:val="48"/>
          <w:szCs w:val="48"/>
        </w:rPr>
        <w:t xml:space="preserve"> in Childhood Cancer</w:t>
      </w:r>
    </w:p>
    <w:p w14:paraId="7F6238B3" w14:textId="4790FB94" w:rsidR="00A56FD7" w:rsidRPr="00A56FD7" w:rsidRDefault="00DB1D9D">
      <w:pPr>
        <w:contextualSpacing/>
        <w:jc w:val="center"/>
        <w:rPr>
          <w:sz w:val="22"/>
        </w:rPr>
      </w:pPr>
      <w:r w:rsidRPr="00A56FD7">
        <w:rPr>
          <w:sz w:val="22"/>
        </w:rPr>
        <w:t xml:space="preserve">Ji </w:t>
      </w:r>
      <w:proofErr w:type="gramStart"/>
      <w:r w:rsidRPr="00A56FD7">
        <w:rPr>
          <w:sz w:val="22"/>
        </w:rPr>
        <w:t>In</w:t>
      </w:r>
      <w:proofErr w:type="gramEnd"/>
      <w:r w:rsidRPr="00A56FD7">
        <w:rPr>
          <w:sz w:val="22"/>
        </w:rPr>
        <w:t xml:space="preserve"> Kim</w:t>
      </w:r>
      <w:r w:rsidR="0086067F" w:rsidRPr="00A56FD7">
        <w:rPr>
          <w:sz w:val="22"/>
        </w:rPr>
        <w:t xml:space="preserve">, </w:t>
      </w:r>
      <w:r w:rsidR="00DF21FA" w:rsidRPr="00A56FD7">
        <w:rPr>
          <w:sz w:val="22"/>
        </w:rPr>
        <w:t xml:space="preserve">RN, </w:t>
      </w:r>
      <w:r w:rsidR="00427C38" w:rsidRPr="00A56FD7">
        <w:rPr>
          <w:sz w:val="22"/>
        </w:rPr>
        <w:t xml:space="preserve">Rebekah Levine Coley, </w:t>
      </w:r>
      <w:r w:rsidR="00673482" w:rsidRPr="00A56FD7">
        <w:rPr>
          <w:sz w:val="22"/>
        </w:rPr>
        <w:t xml:space="preserve">PhD, </w:t>
      </w:r>
      <w:r w:rsidR="00427C38" w:rsidRPr="00A56FD7">
        <w:rPr>
          <w:sz w:val="22"/>
        </w:rPr>
        <w:t xml:space="preserve">Philip J. </w:t>
      </w:r>
      <w:proofErr w:type="spellStart"/>
      <w:r w:rsidR="00427C38" w:rsidRPr="00A56FD7">
        <w:rPr>
          <w:sz w:val="22"/>
        </w:rPr>
        <w:t>Landrigan</w:t>
      </w:r>
      <w:proofErr w:type="spellEnd"/>
      <w:r w:rsidR="00673482" w:rsidRPr="00A56FD7">
        <w:rPr>
          <w:sz w:val="22"/>
        </w:rPr>
        <w:t>, MD</w:t>
      </w:r>
      <w:r w:rsidR="00851E7A" w:rsidRPr="00A56FD7">
        <w:rPr>
          <w:sz w:val="22"/>
        </w:rPr>
        <w:t xml:space="preserve">, </w:t>
      </w:r>
      <w:r w:rsidR="00A56FD7" w:rsidRPr="00A56FD7">
        <w:rPr>
          <w:sz w:val="22"/>
        </w:rPr>
        <w:t xml:space="preserve">Boston College </w:t>
      </w:r>
      <w:r w:rsidR="002538FB" w:rsidRPr="00A56FD7">
        <w:rPr>
          <w:sz w:val="22"/>
        </w:rPr>
        <w:t xml:space="preserve"> </w:t>
      </w:r>
    </w:p>
    <w:p w14:paraId="69D4F583" w14:textId="561977A9" w:rsidR="00296FC5" w:rsidRPr="00A56FD7" w:rsidRDefault="002538FB" w:rsidP="000273D8">
      <w:pPr>
        <w:spacing w:after="120"/>
        <w:jc w:val="center"/>
        <w:rPr>
          <w:sz w:val="22"/>
        </w:rPr>
      </w:pPr>
      <w:proofErr w:type="spellStart"/>
      <w:r w:rsidRPr="00A56FD7">
        <w:rPr>
          <w:sz w:val="22"/>
        </w:rPr>
        <w:t>Yoorim</w:t>
      </w:r>
      <w:proofErr w:type="spellEnd"/>
      <w:r w:rsidRPr="00A56FD7">
        <w:rPr>
          <w:sz w:val="22"/>
        </w:rPr>
        <w:t xml:space="preserve"> Bang</w:t>
      </w:r>
      <w:r w:rsidR="004B3DBA" w:rsidRPr="00A56FD7">
        <w:rPr>
          <w:sz w:val="22"/>
        </w:rPr>
        <w:t>, PhD</w:t>
      </w:r>
      <w:r w:rsidR="009C79B7" w:rsidRPr="00A56FD7">
        <w:rPr>
          <w:sz w:val="22"/>
        </w:rPr>
        <w:t>, &amp;</w:t>
      </w:r>
      <w:r w:rsidR="00A56FD7" w:rsidRPr="00A56FD7">
        <w:rPr>
          <w:sz w:val="22"/>
        </w:rPr>
        <w:t xml:space="preserve"> </w:t>
      </w:r>
      <w:proofErr w:type="spellStart"/>
      <w:r w:rsidR="009C79B7" w:rsidRPr="00A56FD7">
        <w:rPr>
          <w:sz w:val="22"/>
        </w:rPr>
        <w:t>Eunhee</w:t>
      </w:r>
      <w:proofErr w:type="spellEnd"/>
      <w:r w:rsidR="009C79B7" w:rsidRPr="00A56FD7">
        <w:rPr>
          <w:sz w:val="22"/>
        </w:rPr>
        <w:t xml:space="preserve"> Ha, MD</w:t>
      </w:r>
      <w:r w:rsidR="00A56FD7">
        <w:rPr>
          <w:sz w:val="22"/>
        </w:rPr>
        <w:t>,</w:t>
      </w:r>
      <w:r w:rsidR="000C0F64" w:rsidRPr="00A56FD7">
        <w:rPr>
          <w:rStyle w:val="FootnoteReference"/>
          <w:sz w:val="22"/>
        </w:rPr>
        <w:footnoteReference w:id="1"/>
      </w:r>
      <w:r w:rsidR="00A56FD7">
        <w:rPr>
          <w:sz w:val="22"/>
        </w:rPr>
        <w:t xml:space="preserve"> </w:t>
      </w:r>
      <w:proofErr w:type="spellStart"/>
      <w:r w:rsidR="004B3DBA" w:rsidRPr="00A56FD7">
        <w:rPr>
          <w:sz w:val="22"/>
        </w:rPr>
        <w:t>Ewha</w:t>
      </w:r>
      <w:proofErr w:type="spellEnd"/>
      <w:r w:rsidR="004B3DBA" w:rsidRPr="00A56FD7">
        <w:rPr>
          <w:sz w:val="22"/>
        </w:rPr>
        <w:t xml:space="preserve"> </w:t>
      </w:r>
      <w:proofErr w:type="spellStart"/>
      <w:r w:rsidR="004B3DBA" w:rsidRPr="00A56FD7">
        <w:rPr>
          <w:sz w:val="22"/>
        </w:rPr>
        <w:t>Wom</w:t>
      </w:r>
      <w:r w:rsidR="001F48D6">
        <w:rPr>
          <w:sz w:val="22"/>
        </w:rPr>
        <w:t>a</w:t>
      </w:r>
      <w:r w:rsidR="004B3DBA" w:rsidRPr="00A56FD7">
        <w:rPr>
          <w:sz w:val="22"/>
        </w:rPr>
        <w:t>ns</w:t>
      </w:r>
      <w:proofErr w:type="spellEnd"/>
      <w:r w:rsidR="004B3DBA" w:rsidRPr="00A56FD7">
        <w:rPr>
          <w:sz w:val="22"/>
        </w:rPr>
        <w:t xml:space="preserve"> University</w:t>
      </w:r>
    </w:p>
    <w:p w14:paraId="347A7C8D" w14:textId="69E4ECF0" w:rsidR="0086067F" w:rsidRPr="000273D8" w:rsidRDefault="00673482" w:rsidP="000273D8">
      <w:pPr>
        <w:pBdr>
          <w:top w:val="single" w:sz="18" w:space="1" w:color="833C0B" w:themeColor="accent2" w:themeShade="80"/>
          <w:bottom w:val="single" w:sz="18" w:space="1" w:color="833C0B" w:themeColor="accent2" w:themeShade="80"/>
        </w:pBdr>
        <w:spacing w:after="120" w:line="240" w:lineRule="auto"/>
        <w:ind w:right="-331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0273D8">
        <w:rPr>
          <w:rFonts w:asciiTheme="majorHAnsi" w:hAnsiTheme="majorHAnsi" w:cstheme="majorHAnsi"/>
          <w:sz w:val="24"/>
          <w:szCs w:val="24"/>
        </w:rPr>
        <w:t>CureAll</w:t>
      </w:r>
      <w:proofErr w:type="spellEnd"/>
      <w:r w:rsidRPr="000273D8">
        <w:rPr>
          <w:rFonts w:asciiTheme="majorHAnsi" w:hAnsiTheme="majorHAnsi" w:cstheme="majorHAnsi"/>
          <w:sz w:val="24"/>
          <w:szCs w:val="24"/>
        </w:rPr>
        <w:t xml:space="preserve"> </w:t>
      </w:r>
      <w:r w:rsidR="00CE0288" w:rsidRPr="000273D8">
        <w:rPr>
          <w:rFonts w:asciiTheme="majorHAnsi" w:hAnsiTheme="majorHAnsi" w:cstheme="majorHAnsi"/>
          <w:sz w:val="24"/>
          <w:szCs w:val="24"/>
        </w:rPr>
        <w:t>is a</w:t>
      </w:r>
      <w:r w:rsidR="00DB1D9D" w:rsidRPr="000273D8">
        <w:rPr>
          <w:rFonts w:asciiTheme="majorHAnsi" w:hAnsiTheme="majorHAnsi" w:cstheme="majorHAnsi"/>
          <w:sz w:val="24"/>
          <w:szCs w:val="24"/>
        </w:rPr>
        <w:t xml:space="preserve"> framework</w:t>
      </w:r>
      <w:r w:rsidR="000700A6" w:rsidRPr="000273D8">
        <w:rPr>
          <w:rFonts w:asciiTheme="majorHAnsi" w:hAnsiTheme="majorHAnsi" w:cstheme="majorHAnsi"/>
          <w:sz w:val="24"/>
          <w:szCs w:val="24"/>
        </w:rPr>
        <w:t xml:space="preserve"> </w:t>
      </w:r>
      <w:r w:rsidR="006C605F" w:rsidRPr="000273D8">
        <w:rPr>
          <w:rFonts w:asciiTheme="majorHAnsi" w:hAnsiTheme="majorHAnsi" w:cstheme="majorHAnsi"/>
          <w:sz w:val="24"/>
          <w:szCs w:val="24"/>
        </w:rPr>
        <w:t>to success to close childhood cancer inequities and improve survivorship across the globe. T</w:t>
      </w:r>
      <w:r w:rsidR="004D25D9" w:rsidRPr="000273D8">
        <w:rPr>
          <w:rFonts w:asciiTheme="majorHAnsi" w:hAnsiTheme="majorHAnsi" w:cstheme="majorHAnsi"/>
          <w:sz w:val="24"/>
          <w:szCs w:val="24"/>
        </w:rPr>
        <w:t>his global initiative is t</w:t>
      </w:r>
      <w:r w:rsidR="006C605F" w:rsidRPr="000273D8">
        <w:rPr>
          <w:rFonts w:asciiTheme="majorHAnsi" w:hAnsiTheme="majorHAnsi" w:cstheme="majorHAnsi"/>
          <w:sz w:val="24"/>
          <w:szCs w:val="24"/>
        </w:rPr>
        <w:t xml:space="preserve">o be strongly considered by policy makers </w:t>
      </w:r>
      <w:r w:rsidR="00DB1D9D" w:rsidRPr="000273D8">
        <w:rPr>
          <w:rFonts w:asciiTheme="majorHAnsi" w:hAnsiTheme="majorHAnsi" w:cstheme="majorHAnsi"/>
          <w:sz w:val="24"/>
          <w:szCs w:val="24"/>
        </w:rPr>
        <w:t xml:space="preserve">in </w:t>
      </w:r>
      <w:r w:rsidR="006C605F" w:rsidRPr="000273D8">
        <w:rPr>
          <w:rFonts w:asciiTheme="majorHAnsi" w:hAnsiTheme="majorHAnsi" w:cstheme="majorHAnsi"/>
          <w:sz w:val="24"/>
          <w:szCs w:val="24"/>
        </w:rPr>
        <w:t>lower- and middle-income</w:t>
      </w:r>
      <w:r w:rsidR="00DB1D9D" w:rsidRPr="000273D8">
        <w:rPr>
          <w:rFonts w:asciiTheme="majorHAnsi" w:hAnsiTheme="majorHAnsi" w:cstheme="majorHAnsi"/>
          <w:sz w:val="24"/>
          <w:szCs w:val="24"/>
        </w:rPr>
        <w:t xml:space="preserve"> countries (LMICs)</w:t>
      </w:r>
      <w:r w:rsidR="006C605F" w:rsidRPr="000273D8">
        <w:rPr>
          <w:rFonts w:asciiTheme="majorHAnsi" w:hAnsiTheme="majorHAnsi" w:cstheme="majorHAnsi"/>
          <w:sz w:val="24"/>
          <w:szCs w:val="24"/>
        </w:rPr>
        <w:t>, where</w:t>
      </w:r>
      <w:r w:rsidR="00275C56" w:rsidRPr="000273D8">
        <w:rPr>
          <w:rFonts w:asciiTheme="majorHAnsi" w:hAnsiTheme="majorHAnsi" w:cstheme="majorHAnsi"/>
          <w:sz w:val="24"/>
          <w:szCs w:val="24"/>
        </w:rPr>
        <w:t xml:space="preserve"> there</w:t>
      </w:r>
      <w:r w:rsidR="006C605F" w:rsidRPr="000273D8">
        <w:rPr>
          <w:rFonts w:asciiTheme="majorHAnsi" w:hAnsiTheme="majorHAnsi" w:cstheme="majorHAnsi"/>
          <w:sz w:val="24"/>
          <w:szCs w:val="24"/>
        </w:rPr>
        <w:t xml:space="preserve"> is a</w:t>
      </w:r>
      <w:r w:rsidR="001C5E70" w:rsidRPr="000273D8">
        <w:rPr>
          <w:rFonts w:asciiTheme="majorHAnsi" w:hAnsiTheme="majorHAnsi" w:cstheme="majorHAnsi"/>
          <w:sz w:val="24"/>
          <w:szCs w:val="24"/>
        </w:rPr>
        <w:t>n immense</w:t>
      </w:r>
      <w:r w:rsidR="006C605F" w:rsidRPr="000273D8">
        <w:rPr>
          <w:rFonts w:asciiTheme="majorHAnsi" w:hAnsiTheme="majorHAnsi" w:cstheme="majorHAnsi"/>
          <w:sz w:val="24"/>
          <w:szCs w:val="24"/>
        </w:rPr>
        <w:t xml:space="preserve"> need </w:t>
      </w:r>
      <w:r w:rsidR="001C5E70" w:rsidRPr="000273D8">
        <w:rPr>
          <w:rFonts w:asciiTheme="majorHAnsi" w:hAnsiTheme="majorHAnsi" w:cstheme="majorHAnsi"/>
          <w:sz w:val="24"/>
          <w:szCs w:val="24"/>
        </w:rPr>
        <w:t xml:space="preserve">to </w:t>
      </w:r>
      <w:r w:rsidR="006C605F" w:rsidRPr="000273D8">
        <w:rPr>
          <w:rFonts w:asciiTheme="majorHAnsi" w:hAnsiTheme="majorHAnsi" w:cstheme="majorHAnsi"/>
          <w:sz w:val="24"/>
          <w:szCs w:val="24"/>
        </w:rPr>
        <w:t>combat childhood cancer</w:t>
      </w:r>
      <w:r w:rsidR="00DB1D9D" w:rsidRPr="000273D8">
        <w:rPr>
          <w:rFonts w:asciiTheme="majorHAnsi" w:hAnsiTheme="majorHAnsi" w:cstheme="majorHAnsi"/>
          <w:sz w:val="24"/>
          <w:szCs w:val="24"/>
        </w:rPr>
        <w:t xml:space="preserve">. </w:t>
      </w:r>
      <w:bookmarkStart w:id="0" w:name="_GoBack"/>
      <w:bookmarkEnd w:id="0"/>
    </w:p>
    <w:p w14:paraId="271EA576" w14:textId="3C9BA04C" w:rsidR="0086067F" w:rsidRPr="000273D8" w:rsidRDefault="009C7DEE" w:rsidP="000273D8">
      <w:pPr>
        <w:pStyle w:val="Heading2"/>
        <w:spacing w:line="240" w:lineRule="auto"/>
        <w:ind w:right="-331"/>
        <w:contextualSpacing/>
        <w:rPr>
          <w:rFonts w:asciiTheme="majorHAnsi" w:hAnsiTheme="majorHAnsi" w:cstheme="majorHAnsi"/>
          <w:b/>
          <w:color w:val="9E2F35"/>
          <w:szCs w:val="28"/>
        </w:rPr>
      </w:pPr>
      <w:r w:rsidRPr="000273D8">
        <w:rPr>
          <w:rFonts w:asciiTheme="majorHAnsi" w:hAnsiTheme="majorHAnsi" w:cstheme="majorHAnsi"/>
          <w:b/>
          <w:color w:val="9E2F35"/>
          <w:szCs w:val="28"/>
        </w:rPr>
        <w:t xml:space="preserve">The Need: </w:t>
      </w:r>
      <w:r w:rsidR="006C605F" w:rsidRPr="000273D8">
        <w:rPr>
          <w:rFonts w:asciiTheme="majorHAnsi" w:hAnsiTheme="majorHAnsi" w:cstheme="majorHAnsi"/>
          <w:b/>
          <w:color w:val="9E2F35"/>
          <w:szCs w:val="28"/>
        </w:rPr>
        <w:t xml:space="preserve">Global Childhood Cancer Inequity Poses Huge Threats </w:t>
      </w:r>
      <w:r w:rsidR="00CE0288" w:rsidRPr="000273D8">
        <w:rPr>
          <w:rFonts w:asciiTheme="majorHAnsi" w:hAnsiTheme="majorHAnsi" w:cstheme="majorHAnsi"/>
          <w:b/>
          <w:color w:val="9E2F35"/>
          <w:szCs w:val="28"/>
        </w:rPr>
        <w:t>to</w:t>
      </w:r>
      <w:r w:rsidR="006C605F" w:rsidRPr="000273D8">
        <w:rPr>
          <w:rFonts w:asciiTheme="majorHAnsi" w:hAnsiTheme="majorHAnsi" w:cstheme="majorHAnsi"/>
          <w:b/>
          <w:color w:val="9E2F35"/>
          <w:szCs w:val="28"/>
        </w:rPr>
        <w:t xml:space="preserve"> Survivorship</w:t>
      </w:r>
    </w:p>
    <w:p w14:paraId="7357467A" w14:textId="116C869D" w:rsidR="006C605F" w:rsidRPr="000273D8" w:rsidRDefault="00DB1D9D" w:rsidP="000273D8">
      <w:pPr>
        <w:spacing w:after="120" w:line="240" w:lineRule="auto"/>
        <w:ind w:right="-331"/>
        <w:rPr>
          <w:sz w:val="22"/>
          <w:vertAlign w:val="superscript"/>
        </w:rPr>
      </w:pPr>
      <w:r w:rsidRPr="000273D8">
        <w:rPr>
          <w:sz w:val="22"/>
        </w:rPr>
        <w:t>Each year more than 400,000 children and adolescents under</w:t>
      </w:r>
      <w:r w:rsidR="00CE0288" w:rsidRPr="000273D8">
        <w:rPr>
          <w:sz w:val="22"/>
        </w:rPr>
        <w:t xml:space="preserve"> age</w:t>
      </w:r>
      <w:r w:rsidRPr="000273D8">
        <w:rPr>
          <w:sz w:val="22"/>
        </w:rPr>
        <w:t xml:space="preserve"> 20 are diagnosed with cancer. This </w:t>
      </w:r>
      <w:r w:rsidR="00CE0288" w:rsidRPr="000273D8">
        <w:rPr>
          <w:sz w:val="22"/>
        </w:rPr>
        <w:t xml:space="preserve">translates into a new diagnosis of childhood cancer </w:t>
      </w:r>
      <w:r w:rsidRPr="000273D8">
        <w:rPr>
          <w:sz w:val="22"/>
        </w:rPr>
        <w:t>every 3 minutes.</w:t>
      </w:r>
      <w:r w:rsidR="004B3DBA" w:rsidRPr="000273D8">
        <w:rPr>
          <w:sz w:val="22"/>
          <w:vertAlign w:val="superscript"/>
        </w:rPr>
        <w:t>1</w:t>
      </w:r>
      <w:r w:rsidR="006C605F" w:rsidRPr="000273D8">
        <w:rPr>
          <w:sz w:val="22"/>
        </w:rPr>
        <w:t xml:space="preserve"> Between 2020 and 2050, it is estimated that there will be 13.7 million new cases of childhood cancer globally.</w:t>
      </w:r>
      <w:r w:rsidR="004B3DBA" w:rsidRPr="000273D8">
        <w:rPr>
          <w:sz w:val="22"/>
          <w:vertAlign w:val="superscript"/>
        </w:rPr>
        <w:t>2</w:t>
      </w:r>
      <w:r w:rsidR="006C605F" w:rsidRPr="000273D8">
        <w:rPr>
          <w:sz w:val="22"/>
        </w:rPr>
        <w:t xml:space="preserve"> At current levels of health system performance, 6.1 million (44.9%) of these children will go undiagnosed.</w:t>
      </w:r>
      <w:r w:rsidR="004B3DBA" w:rsidRPr="000273D8">
        <w:rPr>
          <w:sz w:val="22"/>
          <w:vertAlign w:val="superscript"/>
        </w:rPr>
        <w:t>2</w:t>
      </w:r>
      <w:r w:rsidR="006C605F" w:rsidRPr="000273D8">
        <w:rPr>
          <w:sz w:val="22"/>
        </w:rPr>
        <w:t xml:space="preserve"> </w:t>
      </w:r>
      <w:r w:rsidR="00CE0288" w:rsidRPr="000273D8">
        <w:rPr>
          <w:sz w:val="22"/>
        </w:rPr>
        <w:t>And w</w:t>
      </w:r>
      <w:r w:rsidR="006C605F" w:rsidRPr="000273D8">
        <w:rPr>
          <w:sz w:val="22"/>
        </w:rPr>
        <w:t xml:space="preserve">ithout further improvements in access to </w:t>
      </w:r>
      <w:r w:rsidR="00CE0288" w:rsidRPr="000273D8">
        <w:rPr>
          <w:sz w:val="22"/>
        </w:rPr>
        <w:t xml:space="preserve">diagnostic and treatment </w:t>
      </w:r>
      <w:r w:rsidR="006C605F" w:rsidRPr="000273D8">
        <w:rPr>
          <w:sz w:val="22"/>
        </w:rPr>
        <w:t xml:space="preserve">healthcare services, 11.1 million children will die from cancer </w:t>
      </w:r>
      <w:r w:rsidR="00673482" w:rsidRPr="000273D8">
        <w:rPr>
          <w:sz w:val="22"/>
        </w:rPr>
        <w:t>between 2020 and 2050</w:t>
      </w:r>
      <w:r w:rsidR="006C605F" w:rsidRPr="000273D8">
        <w:rPr>
          <w:sz w:val="22"/>
        </w:rPr>
        <w:t>, with 9.3 million (84.1%) of these deaths occurring in LMICs</w:t>
      </w:r>
      <w:r w:rsidR="00350A20" w:rsidRPr="000273D8">
        <w:rPr>
          <w:sz w:val="22"/>
        </w:rPr>
        <w:t>.</w:t>
      </w:r>
      <w:r w:rsidR="004B3DBA" w:rsidRPr="000273D8">
        <w:rPr>
          <w:sz w:val="22"/>
          <w:vertAlign w:val="superscript"/>
        </w:rPr>
        <w:t>2</w:t>
      </w:r>
    </w:p>
    <w:p w14:paraId="5752C7D1" w14:textId="1317AB1F" w:rsidR="00350A20" w:rsidRPr="000273D8" w:rsidRDefault="00DB1D9D" w:rsidP="000273D8">
      <w:pPr>
        <w:spacing w:after="120" w:line="240" w:lineRule="auto"/>
        <w:ind w:right="-331"/>
        <w:rPr>
          <w:sz w:val="22"/>
          <w:vertAlign w:val="superscript"/>
        </w:rPr>
      </w:pPr>
      <w:r w:rsidRPr="000273D8">
        <w:rPr>
          <w:sz w:val="22"/>
        </w:rPr>
        <w:t>Cancer does not discriminate</w:t>
      </w:r>
      <w:r w:rsidR="00673482" w:rsidRPr="000273D8">
        <w:rPr>
          <w:sz w:val="22"/>
        </w:rPr>
        <w:t>; it affects children across the globe</w:t>
      </w:r>
      <w:r w:rsidR="00350A20" w:rsidRPr="000273D8">
        <w:rPr>
          <w:sz w:val="22"/>
        </w:rPr>
        <w:t xml:space="preserve">. </w:t>
      </w:r>
      <w:r w:rsidR="00653C3C" w:rsidRPr="000273D8">
        <w:rPr>
          <w:sz w:val="22"/>
        </w:rPr>
        <w:t>Overall, childhood cancer is under-recognized and hence under-treated. But there are significant national inequities, with</w:t>
      </w:r>
      <w:r w:rsidRPr="000273D8">
        <w:rPr>
          <w:sz w:val="22"/>
        </w:rPr>
        <w:t xml:space="preserve"> child cancer </w:t>
      </w:r>
      <w:r w:rsidR="00275C56" w:rsidRPr="000273D8">
        <w:rPr>
          <w:sz w:val="22"/>
        </w:rPr>
        <w:t xml:space="preserve">diagnoses </w:t>
      </w:r>
      <w:r w:rsidRPr="000273D8">
        <w:rPr>
          <w:sz w:val="22"/>
        </w:rPr>
        <w:t xml:space="preserve">and </w:t>
      </w:r>
      <w:r w:rsidR="004B3DBA" w:rsidRPr="000273D8">
        <w:rPr>
          <w:sz w:val="22"/>
        </w:rPr>
        <w:t xml:space="preserve">net </w:t>
      </w:r>
      <w:r w:rsidRPr="000273D8">
        <w:rPr>
          <w:sz w:val="22"/>
        </w:rPr>
        <w:t xml:space="preserve">survivorship </w:t>
      </w:r>
      <w:r w:rsidR="00350A20" w:rsidRPr="000273D8">
        <w:rPr>
          <w:sz w:val="22"/>
        </w:rPr>
        <w:t>vary</w:t>
      </w:r>
      <w:r w:rsidR="00653C3C" w:rsidRPr="000273D8">
        <w:rPr>
          <w:sz w:val="22"/>
        </w:rPr>
        <w:t>ing</w:t>
      </w:r>
      <w:r w:rsidR="00350A20" w:rsidRPr="000273D8">
        <w:rPr>
          <w:sz w:val="22"/>
        </w:rPr>
        <w:t xml:space="preserve"> greatly</w:t>
      </w:r>
      <w:r w:rsidRPr="000273D8">
        <w:rPr>
          <w:sz w:val="22"/>
        </w:rPr>
        <w:t xml:space="preserve"> </w:t>
      </w:r>
      <w:r w:rsidR="00673482" w:rsidRPr="000273D8">
        <w:rPr>
          <w:sz w:val="22"/>
        </w:rPr>
        <w:t>across</w:t>
      </w:r>
      <w:r w:rsidRPr="000273D8">
        <w:rPr>
          <w:sz w:val="22"/>
        </w:rPr>
        <w:t xml:space="preserve"> geographical locatio</w:t>
      </w:r>
      <w:r w:rsidR="006C605F" w:rsidRPr="000273D8">
        <w:rPr>
          <w:sz w:val="22"/>
        </w:rPr>
        <w:t>n</w:t>
      </w:r>
      <w:r w:rsidR="00A56FD7" w:rsidRPr="000273D8">
        <w:rPr>
          <w:sz w:val="22"/>
        </w:rPr>
        <w:t>, as</w:t>
      </w:r>
      <w:r w:rsidR="00653C3C" w:rsidRPr="000273D8">
        <w:rPr>
          <w:sz w:val="22"/>
        </w:rPr>
        <w:t xml:space="preserve"> </w:t>
      </w:r>
      <w:r w:rsidR="00ED4297" w:rsidRPr="000273D8">
        <w:rPr>
          <w:sz w:val="22"/>
        </w:rPr>
        <w:t xml:space="preserve">seen in </w:t>
      </w:r>
      <w:r w:rsidR="00653C3C" w:rsidRPr="000273D8">
        <w:rPr>
          <w:sz w:val="22"/>
        </w:rPr>
        <w:t>Figure 1</w:t>
      </w:r>
      <w:r w:rsidRPr="000273D8">
        <w:rPr>
          <w:sz w:val="22"/>
        </w:rPr>
        <w:t>.</w:t>
      </w:r>
      <w:r w:rsidR="004B3DBA" w:rsidRPr="000273D8">
        <w:rPr>
          <w:sz w:val="22"/>
          <w:vertAlign w:val="superscript"/>
        </w:rPr>
        <w:t>1</w:t>
      </w:r>
      <w:r w:rsidR="00A04782" w:rsidRPr="000273D8">
        <w:rPr>
          <w:sz w:val="22"/>
        </w:rPr>
        <w:t xml:space="preserve"> </w:t>
      </w:r>
      <w:r w:rsidR="00275C56" w:rsidRPr="000273D8">
        <w:rPr>
          <w:sz w:val="22"/>
        </w:rPr>
        <w:t>Importantly</w:t>
      </w:r>
      <w:r w:rsidRPr="000273D8">
        <w:rPr>
          <w:sz w:val="22"/>
        </w:rPr>
        <w:t xml:space="preserve">, 9 of 10 children diagnosed with cancer </w:t>
      </w:r>
      <w:r w:rsidR="00CE0288" w:rsidRPr="000273D8">
        <w:rPr>
          <w:sz w:val="22"/>
        </w:rPr>
        <w:t>live</w:t>
      </w:r>
      <w:r w:rsidRPr="000273D8">
        <w:rPr>
          <w:sz w:val="22"/>
        </w:rPr>
        <w:t xml:space="preserve"> in LMICs</w:t>
      </w:r>
      <w:r w:rsidR="00350A20" w:rsidRPr="000273D8">
        <w:rPr>
          <w:sz w:val="22"/>
        </w:rPr>
        <w:t xml:space="preserve"> where the survival rate of 30% is dramatically lower than the survival rate </w:t>
      </w:r>
      <w:r w:rsidR="006328C9" w:rsidRPr="000273D8">
        <w:rPr>
          <w:sz w:val="22"/>
        </w:rPr>
        <w:t xml:space="preserve">of &gt;80% </w:t>
      </w:r>
      <w:r w:rsidR="00350A20" w:rsidRPr="000273D8">
        <w:rPr>
          <w:sz w:val="22"/>
        </w:rPr>
        <w:t>in high income countries</w:t>
      </w:r>
      <w:r w:rsidR="006328C9" w:rsidRPr="000273D8">
        <w:rPr>
          <w:sz w:val="22"/>
        </w:rPr>
        <w:t>.</w:t>
      </w:r>
      <w:r w:rsidR="004B3DBA" w:rsidRPr="000273D8">
        <w:rPr>
          <w:sz w:val="22"/>
          <w:vertAlign w:val="superscript"/>
        </w:rPr>
        <w:t>1</w:t>
      </w:r>
    </w:p>
    <w:p w14:paraId="478BCA34" w14:textId="340F703A" w:rsidR="00016020" w:rsidRPr="00016020" w:rsidRDefault="00016020" w:rsidP="000273D8">
      <w:pPr>
        <w:spacing w:after="120" w:line="240" w:lineRule="auto"/>
        <w:ind w:right="-331"/>
        <w:rPr>
          <w:b/>
          <w:i/>
          <w:color w:val="9E2F35"/>
        </w:rPr>
      </w:pPr>
      <w:r w:rsidRPr="00016020">
        <w:rPr>
          <w:b/>
          <w:i/>
          <w:color w:val="9E2F35"/>
        </w:rPr>
        <w:t>Figure 1: Estimated Childhood Cancer 5- Year Net Survival by Country (2015-2019</w:t>
      </w:r>
      <w:r w:rsidRPr="000273D8">
        <w:rPr>
          <w:b/>
          <w:color w:val="9E2F35"/>
        </w:rPr>
        <w:t>)</w:t>
      </w:r>
      <w:r w:rsidR="00786778" w:rsidRPr="000273D8">
        <w:rPr>
          <w:b/>
          <w:color w:val="9E2F35"/>
        </w:rPr>
        <w:t xml:space="preserve"> </w:t>
      </w:r>
    </w:p>
    <w:p w14:paraId="3578B0DA" w14:textId="2A8AEA00" w:rsidR="00016020" w:rsidRDefault="00016020">
      <w:pPr>
        <w:pStyle w:val="NormalWeb"/>
        <w:spacing w:before="0" w:beforeAutospacing="0" w:after="0" w:afterAutospacing="0"/>
        <w:ind w:right="-334"/>
        <w:jc w:val="center"/>
      </w:pPr>
      <w:r>
        <w:rPr>
          <w:noProof/>
        </w:rPr>
        <w:drawing>
          <wp:inline distT="0" distB="0" distL="0" distR="0" wp14:anchorId="522350F4" wp14:editId="6A61E0D2">
            <wp:extent cx="5865179" cy="2528570"/>
            <wp:effectExtent l="0" t="0" r="254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 Shot 2024-10-24 at 4.51.26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2" b="3175"/>
                    <a:stretch/>
                  </pic:blipFill>
                  <pic:spPr bwMode="auto">
                    <a:xfrm>
                      <a:off x="0" y="0"/>
                      <a:ext cx="5865179" cy="252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6897E" w14:textId="0E0C7B56" w:rsidR="00B732D7" w:rsidRPr="00653C3C" w:rsidRDefault="004B3DBA" w:rsidP="000273D8">
      <w:pPr>
        <w:ind w:left="810" w:right="-331"/>
        <w:contextualSpacing/>
        <w:rPr>
          <w:rFonts w:ascii="Times New Roman" w:eastAsia="Times New Roman" w:hAnsi="Times New Roman" w:cs="Times New Roman"/>
          <w:color w:val="auto"/>
          <w:sz w:val="4"/>
          <w:szCs w:val="4"/>
          <w:lang w:val="en-US" w:eastAsia="ko-KR"/>
        </w:rPr>
      </w:pPr>
      <w:r>
        <w:rPr>
          <w:rFonts w:ascii="Calibri" w:eastAsia="Times New Roman" w:hAnsi="Calibri" w:cs="Calibri"/>
          <w:color w:val="000000" w:themeColor="text1"/>
          <w:sz w:val="16"/>
          <w:szCs w:val="16"/>
          <w:lang w:val="en-US" w:eastAsia="ko-KR"/>
        </w:rPr>
        <w:t>From</w:t>
      </w:r>
      <w:r w:rsidRPr="004C63A1">
        <w:rPr>
          <w:rFonts w:ascii="Calibri" w:eastAsia="Times New Roman" w:hAnsi="Calibri" w:cs="Calibri"/>
          <w:color w:val="000000" w:themeColor="text1"/>
          <w:sz w:val="16"/>
          <w:szCs w:val="16"/>
          <w:lang w:val="en-US" w:eastAsia="ko-KR"/>
        </w:rPr>
        <w:t xml:space="preserve"> the World Health Organization (2020)</w:t>
      </w:r>
      <w:r>
        <w:rPr>
          <w:rFonts w:ascii="Calibri" w:eastAsia="Times New Roman" w:hAnsi="Calibri" w:cs="Calibri"/>
          <w:color w:val="000000" w:themeColor="text1"/>
          <w:sz w:val="16"/>
          <w:szCs w:val="16"/>
          <w:vertAlign w:val="superscript"/>
          <w:lang w:val="en-US" w:eastAsia="ko-KR"/>
        </w:rPr>
        <w:t>1</w:t>
      </w:r>
    </w:p>
    <w:p w14:paraId="06BC92FE" w14:textId="45F99416" w:rsidR="00147A27" w:rsidRPr="000273D8" w:rsidRDefault="00CE0288" w:rsidP="000273D8">
      <w:pPr>
        <w:spacing w:after="0" w:line="240" w:lineRule="auto"/>
        <w:ind w:right="-331"/>
        <w:rPr>
          <w:sz w:val="22"/>
          <w:vertAlign w:val="superscript"/>
        </w:rPr>
      </w:pPr>
      <w:r w:rsidRPr="000273D8">
        <w:rPr>
          <w:sz w:val="22"/>
        </w:rPr>
        <w:t xml:space="preserve">These </w:t>
      </w:r>
      <w:r w:rsidR="00FA5AF6" w:rsidRPr="000273D8">
        <w:rPr>
          <w:sz w:val="22"/>
        </w:rPr>
        <w:t>stark</w:t>
      </w:r>
      <w:r w:rsidR="009C7DEE" w:rsidRPr="000273D8">
        <w:rPr>
          <w:sz w:val="22"/>
        </w:rPr>
        <w:t xml:space="preserve"> </w:t>
      </w:r>
      <w:r w:rsidR="00275C56" w:rsidRPr="000273D8">
        <w:rPr>
          <w:sz w:val="22"/>
        </w:rPr>
        <w:t xml:space="preserve">disparities </w:t>
      </w:r>
      <w:r w:rsidR="009C7DEE" w:rsidRPr="000273D8">
        <w:rPr>
          <w:sz w:val="22"/>
        </w:rPr>
        <w:t xml:space="preserve">in childhood cancer </w:t>
      </w:r>
      <w:r w:rsidR="00275C56" w:rsidRPr="000273D8">
        <w:rPr>
          <w:sz w:val="22"/>
        </w:rPr>
        <w:t xml:space="preserve">diagnoses and </w:t>
      </w:r>
      <w:r w:rsidR="009C7DEE" w:rsidRPr="000273D8">
        <w:rPr>
          <w:sz w:val="22"/>
        </w:rPr>
        <w:t>sur</w:t>
      </w:r>
      <w:r w:rsidR="00350A20" w:rsidRPr="000273D8">
        <w:rPr>
          <w:sz w:val="22"/>
        </w:rPr>
        <w:t>v</w:t>
      </w:r>
      <w:r w:rsidR="009C7DEE" w:rsidRPr="000273D8">
        <w:rPr>
          <w:sz w:val="22"/>
        </w:rPr>
        <w:t>ival</w:t>
      </w:r>
      <w:r w:rsidR="00147A27" w:rsidRPr="000273D8">
        <w:rPr>
          <w:sz w:val="22"/>
        </w:rPr>
        <w:t xml:space="preserve"> underscore the urgent need to address existing gaps in LMICs at the policy level to improve rates of childhood cancer survivorship. </w:t>
      </w:r>
      <w:r w:rsidR="00FA5AF6" w:rsidRPr="000273D8">
        <w:rPr>
          <w:sz w:val="22"/>
        </w:rPr>
        <w:t xml:space="preserve">Late diagnosis and limited access to effective treatment </w:t>
      </w:r>
      <w:r w:rsidR="003B4AE6" w:rsidRPr="000273D8">
        <w:rPr>
          <w:sz w:val="22"/>
        </w:rPr>
        <w:t>are</w:t>
      </w:r>
      <w:r w:rsidR="00FA5AF6" w:rsidRPr="000273D8">
        <w:rPr>
          <w:sz w:val="22"/>
        </w:rPr>
        <w:t xml:space="preserve"> more prevalent in LMICs</w:t>
      </w:r>
      <w:r w:rsidR="00ED4297" w:rsidRPr="000273D8">
        <w:rPr>
          <w:sz w:val="22"/>
        </w:rPr>
        <w:t>, which impact cancer survivorship</w:t>
      </w:r>
      <w:r w:rsidR="00FA5AF6" w:rsidRPr="000273D8">
        <w:rPr>
          <w:sz w:val="22"/>
        </w:rPr>
        <w:t>. For instance, 66% of 8,000 children diagnosed annually with retinoblastoma are in LMICs, with 90% of cases presenting at advanced stages.</w:t>
      </w:r>
      <w:r w:rsidR="00207863" w:rsidRPr="000273D8">
        <w:rPr>
          <w:sz w:val="22"/>
          <w:vertAlign w:val="superscript"/>
        </w:rPr>
        <w:t>3</w:t>
      </w:r>
      <w:r w:rsidR="00FA5AF6" w:rsidRPr="000273D8">
        <w:rPr>
          <w:sz w:val="22"/>
        </w:rPr>
        <w:t xml:space="preserve"> Additionally, 50-60% of children in LMICs refuse or abandon therapy, hindering long-term treatment and </w:t>
      </w:r>
      <w:r w:rsidR="003B4AE6" w:rsidRPr="000273D8">
        <w:rPr>
          <w:sz w:val="22"/>
        </w:rPr>
        <w:t>survival</w:t>
      </w:r>
      <w:r w:rsidR="00FA5AF6" w:rsidRPr="000273D8">
        <w:rPr>
          <w:sz w:val="22"/>
        </w:rPr>
        <w:t xml:space="preserve"> outcomes. These challenges are </w:t>
      </w:r>
      <w:r w:rsidR="003B4AE6" w:rsidRPr="000273D8">
        <w:rPr>
          <w:sz w:val="22"/>
        </w:rPr>
        <w:t xml:space="preserve">further </w:t>
      </w:r>
      <w:r w:rsidR="00FA5AF6" w:rsidRPr="000273D8">
        <w:rPr>
          <w:sz w:val="22"/>
        </w:rPr>
        <w:t>compounded by inequities in access to and affordability of care, driven by socioeconomic, cultural, and psychosocial factors.</w:t>
      </w:r>
      <w:r w:rsidR="00207863" w:rsidRPr="000273D8">
        <w:rPr>
          <w:sz w:val="22"/>
          <w:vertAlign w:val="superscript"/>
        </w:rPr>
        <w:t>3</w:t>
      </w:r>
      <w:r w:rsidR="00FA5AF6" w:rsidRPr="000273D8">
        <w:rPr>
          <w:sz w:val="22"/>
        </w:rPr>
        <w:t xml:space="preserve"> </w:t>
      </w:r>
      <w:r w:rsidR="003B4AE6" w:rsidRPr="000273D8">
        <w:rPr>
          <w:sz w:val="22"/>
        </w:rPr>
        <w:t>A l</w:t>
      </w:r>
      <w:r w:rsidR="00FA5AF6" w:rsidRPr="000273D8">
        <w:rPr>
          <w:sz w:val="22"/>
        </w:rPr>
        <w:t xml:space="preserve">ack of public awareness, financial barriers </w:t>
      </w:r>
      <w:r w:rsidR="003B4AE6" w:rsidRPr="000273D8">
        <w:rPr>
          <w:sz w:val="22"/>
        </w:rPr>
        <w:t>to</w:t>
      </w:r>
      <w:r w:rsidR="00FA5AF6" w:rsidRPr="000273D8">
        <w:rPr>
          <w:sz w:val="22"/>
        </w:rPr>
        <w:t xml:space="preserve"> accessing and continuing care, insufficient healthcare providers, and limited diagnostic infrastructure continue to </w:t>
      </w:r>
      <w:r w:rsidR="006328C9" w:rsidRPr="000273D8">
        <w:rPr>
          <w:sz w:val="22"/>
        </w:rPr>
        <w:t xml:space="preserve">contribute to </w:t>
      </w:r>
      <w:r w:rsidR="003B4AE6" w:rsidRPr="000273D8">
        <w:rPr>
          <w:sz w:val="22"/>
        </w:rPr>
        <w:t>high</w:t>
      </w:r>
      <w:r w:rsidR="00FA5AF6" w:rsidRPr="000273D8">
        <w:rPr>
          <w:sz w:val="22"/>
        </w:rPr>
        <w:t xml:space="preserve"> mortality rates in LMICs</w:t>
      </w:r>
      <w:r w:rsidR="00147A27" w:rsidRPr="000273D8">
        <w:rPr>
          <w:sz w:val="22"/>
        </w:rPr>
        <w:t>.</w:t>
      </w:r>
      <w:r w:rsidR="00207863" w:rsidRPr="000273D8">
        <w:rPr>
          <w:sz w:val="22"/>
          <w:vertAlign w:val="superscript"/>
        </w:rPr>
        <w:t>3</w:t>
      </w:r>
      <w:r w:rsidR="00147A27" w:rsidRPr="000273D8">
        <w:rPr>
          <w:sz w:val="22"/>
        </w:rPr>
        <w:t xml:space="preserve"> </w:t>
      </w:r>
      <w:r w:rsidR="00FA5AF6" w:rsidRPr="000273D8">
        <w:rPr>
          <w:sz w:val="22"/>
        </w:rPr>
        <w:t xml:space="preserve">Early diagnosis and timely referrals to appropriate multidisciplinary care, effective in </w:t>
      </w:r>
      <w:r w:rsidR="00653C3C" w:rsidRPr="000273D8">
        <w:rPr>
          <w:sz w:val="22"/>
        </w:rPr>
        <w:t>improving survival rates in high income countries (</w:t>
      </w:r>
      <w:r w:rsidR="00FA5AF6" w:rsidRPr="000273D8">
        <w:rPr>
          <w:sz w:val="22"/>
        </w:rPr>
        <w:t>HICs</w:t>
      </w:r>
      <w:r w:rsidR="00653C3C" w:rsidRPr="000273D8">
        <w:rPr>
          <w:sz w:val="22"/>
        </w:rPr>
        <w:t>)</w:t>
      </w:r>
      <w:r w:rsidR="00FA5AF6" w:rsidRPr="000273D8">
        <w:rPr>
          <w:sz w:val="22"/>
        </w:rPr>
        <w:t>, must be prioritized through targeted policy interventions to reduce mortality and improve outcomes in LMICs.</w:t>
      </w:r>
      <w:r w:rsidR="00207863" w:rsidRPr="000273D8">
        <w:rPr>
          <w:sz w:val="22"/>
          <w:vertAlign w:val="superscript"/>
        </w:rPr>
        <w:t>3</w:t>
      </w:r>
    </w:p>
    <w:p w14:paraId="05DE962F" w14:textId="780C4AAF" w:rsidR="00147A27" w:rsidRPr="000273D8" w:rsidRDefault="00147A27" w:rsidP="000273D8">
      <w:pPr>
        <w:pStyle w:val="Heading2"/>
        <w:spacing w:before="0" w:after="120"/>
        <w:ind w:right="-331"/>
        <w:rPr>
          <w:rFonts w:asciiTheme="majorHAnsi" w:hAnsiTheme="majorHAnsi" w:cstheme="majorHAnsi"/>
          <w:b/>
          <w:color w:val="9E2F35"/>
        </w:rPr>
      </w:pPr>
      <w:r w:rsidRPr="000273D8">
        <w:rPr>
          <w:rFonts w:asciiTheme="majorHAnsi" w:hAnsiTheme="majorHAnsi" w:cstheme="majorHAnsi"/>
          <w:b/>
          <w:noProof/>
          <w:color w:val="9E2F35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57D1" wp14:editId="425B5C60">
                <wp:simplePos x="0" y="0"/>
                <wp:positionH relativeFrom="column">
                  <wp:posOffset>4321810</wp:posOffset>
                </wp:positionH>
                <wp:positionV relativeFrom="paragraph">
                  <wp:posOffset>17145</wp:posOffset>
                </wp:positionV>
                <wp:extent cx="1558925" cy="1638935"/>
                <wp:effectExtent l="0" t="0" r="22225" b="1841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1638935"/>
                        </a:xfrm>
                        <a:prstGeom prst="rect">
                          <a:avLst/>
                        </a:prstGeom>
                        <a:ln>
                          <a:solidFill>
                            <a:srgbClr val="9E2F35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34D3C" w14:textId="77777777" w:rsidR="00147A27" w:rsidRDefault="00147A27" w:rsidP="000273D8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“Too many children have their lives cut short by cancer, and survival rates in poor countries are scandalously lower than those in wealthy countries.”</w:t>
                            </w:r>
                          </w:p>
                          <w:p w14:paraId="13A68642" w14:textId="1740BBEB" w:rsidR="00147A27" w:rsidRDefault="00147A27" w:rsidP="000273D8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 Dr. Tedros Adhanom Ghebreyesus, WHO Director-General</w:t>
                            </w:r>
                          </w:p>
                          <w:p w14:paraId="23042727" w14:textId="2975D31B" w:rsidR="00147A27" w:rsidRPr="00147A27" w:rsidRDefault="00147A27" w:rsidP="00147A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D57D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40.3pt;margin-top:1.35pt;width:122.75pt;height:1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" fillcolor="white [3201]" strokecolor="#9e2f35" strokeweight="1pt">
                <v:textbox>
                  <w:txbxContent>
                    <w:p w14:paraId="7AE34D3C" w14:textId="77777777" w:rsidR="00147A27" w:rsidRDefault="00147A27" w:rsidP="000273D8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“Too many children have their lives cut short by cancer, and survival rates in poor countries are scandalously lower than those in wealthy countries.”</w:t>
                      </w:r>
                    </w:p>
                    <w:p w14:paraId="13A68642" w14:textId="1740BBEB" w:rsidR="00147A27" w:rsidRDefault="00147A27" w:rsidP="000273D8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Dr. </w:t>
                      </w:r>
                      <w:proofErr w:type="spellStart"/>
                      <w:r>
                        <w:rPr>
                          <w:lang w:val="en-US"/>
                        </w:rPr>
                        <w:t>Tedros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Adhanom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Ghebreyesus, WHO Director-General</w:t>
                      </w:r>
                    </w:p>
                    <w:p w14:paraId="23042727" w14:textId="2975D31B" w:rsidR="00147A27" w:rsidRPr="00147A27" w:rsidRDefault="00147A27" w:rsidP="00147A2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6C605F" w:rsidRPr="000273D8">
        <w:rPr>
          <w:rFonts w:asciiTheme="majorHAnsi" w:hAnsiTheme="majorHAnsi" w:cstheme="majorHAnsi"/>
          <w:b/>
          <w:color w:val="9E2F35"/>
        </w:rPr>
        <w:t>Cure</w:t>
      </w:r>
      <w:r w:rsidR="006C605F" w:rsidRPr="000273D8">
        <w:rPr>
          <w:rFonts w:asciiTheme="majorHAnsi" w:hAnsiTheme="majorHAnsi" w:cstheme="majorHAnsi"/>
          <w:b/>
          <w:i/>
          <w:color w:val="9E2F35"/>
        </w:rPr>
        <w:t>A</w:t>
      </w:r>
      <w:r w:rsidR="00DF6772" w:rsidRPr="000273D8">
        <w:rPr>
          <w:rFonts w:asciiTheme="majorHAnsi" w:hAnsiTheme="majorHAnsi" w:cstheme="majorHAnsi"/>
          <w:b/>
          <w:i/>
          <w:color w:val="9E2F35"/>
        </w:rPr>
        <w:t>ll</w:t>
      </w:r>
      <w:proofErr w:type="spellEnd"/>
      <w:r w:rsidR="006C605F" w:rsidRPr="000273D8">
        <w:rPr>
          <w:rFonts w:asciiTheme="majorHAnsi" w:hAnsiTheme="majorHAnsi" w:cstheme="majorHAnsi"/>
          <w:b/>
          <w:color w:val="9E2F35"/>
        </w:rPr>
        <w:t xml:space="preserve">: A </w:t>
      </w:r>
      <w:r w:rsidR="00FC6D78" w:rsidRPr="000273D8">
        <w:rPr>
          <w:rFonts w:asciiTheme="majorHAnsi" w:hAnsiTheme="majorHAnsi" w:cstheme="majorHAnsi"/>
          <w:b/>
          <w:color w:val="9E2F35"/>
        </w:rPr>
        <w:t>F</w:t>
      </w:r>
      <w:r w:rsidR="006C605F" w:rsidRPr="000273D8">
        <w:rPr>
          <w:rFonts w:asciiTheme="majorHAnsi" w:hAnsiTheme="majorHAnsi" w:cstheme="majorHAnsi"/>
          <w:b/>
          <w:color w:val="9E2F35"/>
        </w:rPr>
        <w:t xml:space="preserve">ramework to </w:t>
      </w:r>
      <w:r w:rsidR="00FC6D78" w:rsidRPr="000273D8">
        <w:rPr>
          <w:rFonts w:asciiTheme="majorHAnsi" w:hAnsiTheme="majorHAnsi" w:cstheme="majorHAnsi"/>
          <w:b/>
          <w:color w:val="9E2F35"/>
        </w:rPr>
        <w:t>I</w:t>
      </w:r>
      <w:r w:rsidR="006C605F" w:rsidRPr="000273D8">
        <w:rPr>
          <w:rFonts w:asciiTheme="majorHAnsi" w:hAnsiTheme="majorHAnsi" w:cstheme="majorHAnsi"/>
          <w:b/>
          <w:color w:val="9E2F35"/>
        </w:rPr>
        <w:t xml:space="preserve">ncrease </w:t>
      </w:r>
      <w:r w:rsidR="00FC6D78" w:rsidRPr="000273D8">
        <w:rPr>
          <w:rFonts w:asciiTheme="majorHAnsi" w:hAnsiTheme="majorHAnsi" w:cstheme="majorHAnsi"/>
          <w:b/>
          <w:color w:val="9E2F35"/>
        </w:rPr>
        <w:t>C</w:t>
      </w:r>
      <w:r w:rsidR="006C605F" w:rsidRPr="000273D8">
        <w:rPr>
          <w:rFonts w:asciiTheme="majorHAnsi" w:hAnsiTheme="majorHAnsi" w:cstheme="majorHAnsi"/>
          <w:b/>
          <w:color w:val="9E2F35"/>
        </w:rPr>
        <w:t xml:space="preserve">ountries’ </w:t>
      </w:r>
      <w:r w:rsidR="00FC6D78" w:rsidRPr="000273D8">
        <w:rPr>
          <w:rFonts w:asciiTheme="majorHAnsi" w:hAnsiTheme="majorHAnsi" w:cstheme="majorHAnsi"/>
          <w:b/>
          <w:color w:val="9E2F35"/>
        </w:rPr>
        <w:t>C</w:t>
      </w:r>
      <w:r w:rsidR="006C605F" w:rsidRPr="000273D8">
        <w:rPr>
          <w:rFonts w:asciiTheme="majorHAnsi" w:hAnsiTheme="majorHAnsi" w:cstheme="majorHAnsi"/>
          <w:b/>
          <w:color w:val="9E2F35"/>
        </w:rPr>
        <w:t xml:space="preserve">apacity to </w:t>
      </w:r>
      <w:r w:rsidR="00FC6D78" w:rsidRPr="000273D8">
        <w:rPr>
          <w:rFonts w:asciiTheme="majorHAnsi" w:hAnsiTheme="majorHAnsi" w:cstheme="majorHAnsi"/>
          <w:b/>
          <w:color w:val="9E2F35"/>
        </w:rPr>
        <w:t>P</w:t>
      </w:r>
      <w:r w:rsidR="006C605F" w:rsidRPr="000273D8">
        <w:rPr>
          <w:rFonts w:asciiTheme="majorHAnsi" w:hAnsiTheme="majorHAnsi" w:cstheme="majorHAnsi"/>
          <w:b/>
          <w:color w:val="9E2F35"/>
        </w:rPr>
        <w:t>rov</w:t>
      </w:r>
      <w:r w:rsidR="00913F70" w:rsidRPr="000273D8">
        <w:rPr>
          <w:rFonts w:asciiTheme="majorHAnsi" w:hAnsiTheme="majorHAnsi" w:cstheme="majorHAnsi"/>
          <w:b/>
          <w:color w:val="9E2F35"/>
        </w:rPr>
        <w:t>i</w:t>
      </w:r>
      <w:r w:rsidR="006C605F" w:rsidRPr="000273D8">
        <w:rPr>
          <w:rFonts w:asciiTheme="majorHAnsi" w:hAnsiTheme="majorHAnsi" w:cstheme="majorHAnsi"/>
          <w:b/>
          <w:color w:val="9E2F35"/>
        </w:rPr>
        <w:t xml:space="preserve">de </w:t>
      </w:r>
      <w:r w:rsidR="00FC6D78" w:rsidRPr="000273D8">
        <w:rPr>
          <w:rFonts w:asciiTheme="majorHAnsi" w:hAnsiTheme="majorHAnsi" w:cstheme="majorHAnsi"/>
          <w:b/>
          <w:color w:val="9E2F35"/>
        </w:rPr>
        <w:t>Q</w:t>
      </w:r>
      <w:r w:rsidR="006C605F" w:rsidRPr="000273D8">
        <w:rPr>
          <w:rFonts w:asciiTheme="majorHAnsi" w:hAnsiTheme="majorHAnsi" w:cstheme="majorHAnsi"/>
          <w:b/>
          <w:color w:val="9E2F35"/>
        </w:rPr>
        <w:t xml:space="preserve">uality </w:t>
      </w:r>
      <w:r w:rsidR="00FC6D78" w:rsidRPr="000273D8">
        <w:rPr>
          <w:rFonts w:asciiTheme="majorHAnsi" w:hAnsiTheme="majorHAnsi" w:cstheme="majorHAnsi"/>
          <w:b/>
          <w:color w:val="9E2F35"/>
        </w:rPr>
        <w:t>S</w:t>
      </w:r>
      <w:r w:rsidR="006C605F" w:rsidRPr="000273D8">
        <w:rPr>
          <w:rFonts w:asciiTheme="majorHAnsi" w:hAnsiTheme="majorHAnsi" w:cstheme="majorHAnsi"/>
          <w:b/>
          <w:color w:val="9E2F35"/>
        </w:rPr>
        <w:t xml:space="preserve">ervices for </w:t>
      </w:r>
      <w:r w:rsidR="00FC6D78" w:rsidRPr="000273D8">
        <w:rPr>
          <w:rFonts w:asciiTheme="majorHAnsi" w:hAnsiTheme="majorHAnsi" w:cstheme="majorHAnsi"/>
          <w:b/>
          <w:color w:val="9E2F35"/>
        </w:rPr>
        <w:t>C</w:t>
      </w:r>
      <w:r w:rsidR="00016020" w:rsidRPr="000273D8">
        <w:rPr>
          <w:rFonts w:asciiTheme="majorHAnsi" w:hAnsiTheme="majorHAnsi" w:cstheme="majorHAnsi"/>
          <w:b/>
          <w:color w:val="9E2F35"/>
        </w:rPr>
        <w:t xml:space="preserve">hildren with </w:t>
      </w:r>
      <w:r w:rsidR="00FC6D78" w:rsidRPr="000273D8">
        <w:rPr>
          <w:rFonts w:asciiTheme="majorHAnsi" w:hAnsiTheme="majorHAnsi" w:cstheme="majorHAnsi"/>
          <w:b/>
          <w:color w:val="9E2F35"/>
        </w:rPr>
        <w:t>C</w:t>
      </w:r>
      <w:r w:rsidR="00016020" w:rsidRPr="000273D8">
        <w:rPr>
          <w:rFonts w:asciiTheme="majorHAnsi" w:hAnsiTheme="majorHAnsi" w:cstheme="majorHAnsi"/>
          <w:b/>
          <w:color w:val="9E2F35"/>
        </w:rPr>
        <w:t xml:space="preserve">ancer  </w:t>
      </w:r>
    </w:p>
    <w:p w14:paraId="4C1673E6" w14:textId="233534C5" w:rsidR="00E14DBC" w:rsidRPr="000273D8" w:rsidRDefault="00147A27" w:rsidP="000273D8">
      <w:pPr>
        <w:spacing w:after="120" w:line="240" w:lineRule="auto"/>
        <w:ind w:right="-331"/>
        <w:rPr>
          <w:sz w:val="22"/>
        </w:rPr>
      </w:pPr>
      <w:r w:rsidRPr="000273D8">
        <w:rPr>
          <w:sz w:val="22"/>
        </w:rPr>
        <w:t>In September 2018, t</w:t>
      </w:r>
      <w:r w:rsidR="00E14DBC" w:rsidRPr="000273D8">
        <w:rPr>
          <w:sz w:val="22"/>
        </w:rPr>
        <w:t xml:space="preserve">he </w:t>
      </w:r>
      <w:r w:rsidRPr="000273D8">
        <w:rPr>
          <w:sz w:val="22"/>
        </w:rPr>
        <w:t xml:space="preserve">World Health Organization and partners launched the </w:t>
      </w:r>
      <w:r w:rsidR="00FC6D78" w:rsidRPr="000273D8">
        <w:rPr>
          <w:sz w:val="22"/>
        </w:rPr>
        <w:t xml:space="preserve">Global Initiative for Childhood Cancer (GICC) </w:t>
      </w:r>
      <w:r w:rsidR="00E14DBC" w:rsidRPr="000273D8">
        <w:rPr>
          <w:sz w:val="22"/>
        </w:rPr>
        <w:t>in 10 pilot countries</w:t>
      </w:r>
      <w:r w:rsidR="00CE0288" w:rsidRPr="000273D8">
        <w:rPr>
          <w:sz w:val="22"/>
        </w:rPr>
        <w:t xml:space="preserve"> (</w:t>
      </w:r>
      <w:r w:rsidR="00E14DBC" w:rsidRPr="000273D8">
        <w:rPr>
          <w:sz w:val="22"/>
        </w:rPr>
        <w:t>Ghana, Morocco, Myanmar, Peru, the Philippines, Senegal, Sri Lanka, Ukraine, Uzbekistan, and Zambia</w:t>
      </w:r>
      <w:r w:rsidR="00CE0288" w:rsidRPr="000273D8">
        <w:rPr>
          <w:sz w:val="22"/>
        </w:rPr>
        <w:t xml:space="preserve">), expanding after </w:t>
      </w:r>
      <w:r w:rsidRPr="000273D8">
        <w:rPr>
          <w:sz w:val="22"/>
        </w:rPr>
        <w:t xml:space="preserve">a </w:t>
      </w:r>
      <w:r w:rsidR="00FC6D78" w:rsidRPr="000273D8">
        <w:rPr>
          <w:sz w:val="22"/>
        </w:rPr>
        <w:t>5-year</w:t>
      </w:r>
      <w:r w:rsidRPr="000273D8">
        <w:rPr>
          <w:sz w:val="22"/>
        </w:rPr>
        <w:t xml:space="preserve"> review </w:t>
      </w:r>
      <w:r w:rsidR="00E403B1" w:rsidRPr="000273D8">
        <w:rPr>
          <w:sz w:val="22"/>
        </w:rPr>
        <w:t xml:space="preserve">to </w:t>
      </w:r>
      <w:r w:rsidRPr="000273D8">
        <w:rPr>
          <w:sz w:val="22"/>
        </w:rPr>
        <w:t>over 70 countrie</w:t>
      </w:r>
      <w:r w:rsidR="009C7DEE" w:rsidRPr="000273D8">
        <w:rPr>
          <w:sz w:val="22"/>
        </w:rPr>
        <w:t>s.</w:t>
      </w:r>
      <w:r w:rsidR="004B3DBA" w:rsidRPr="000273D8">
        <w:rPr>
          <w:sz w:val="22"/>
          <w:vertAlign w:val="superscript"/>
        </w:rPr>
        <w:t>1</w:t>
      </w:r>
      <w:r w:rsidR="009C7DEE" w:rsidRPr="000273D8">
        <w:rPr>
          <w:sz w:val="22"/>
        </w:rPr>
        <w:t xml:space="preserve"> The GICC advances </w:t>
      </w:r>
      <w:r w:rsidRPr="000273D8">
        <w:rPr>
          <w:sz w:val="22"/>
        </w:rPr>
        <w:t xml:space="preserve">the goal </w:t>
      </w:r>
      <w:r w:rsidR="009C7DEE" w:rsidRPr="000273D8">
        <w:rPr>
          <w:sz w:val="22"/>
        </w:rPr>
        <w:t>of</w:t>
      </w:r>
      <w:r w:rsidR="00FC6D78" w:rsidRPr="000273D8">
        <w:rPr>
          <w:sz w:val="22"/>
        </w:rPr>
        <w:t xml:space="preserve"> increas</w:t>
      </w:r>
      <w:r w:rsidR="009C7DEE" w:rsidRPr="000273D8">
        <w:rPr>
          <w:sz w:val="22"/>
        </w:rPr>
        <w:t xml:space="preserve">ing </w:t>
      </w:r>
      <w:r w:rsidR="00FC6D78" w:rsidRPr="000273D8">
        <w:rPr>
          <w:sz w:val="22"/>
        </w:rPr>
        <w:t>childhood cancer survival rate</w:t>
      </w:r>
      <w:r w:rsidR="000E3832" w:rsidRPr="000273D8">
        <w:rPr>
          <w:sz w:val="22"/>
        </w:rPr>
        <w:t>s</w:t>
      </w:r>
      <w:r w:rsidR="00FC6D78" w:rsidRPr="000273D8">
        <w:rPr>
          <w:sz w:val="22"/>
        </w:rPr>
        <w:t xml:space="preserve"> from the global average of 40% to at least 60% by 2030, there</w:t>
      </w:r>
      <w:r w:rsidR="009C7DEE" w:rsidRPr="000273D8">
        <w:rPr>
          <w:sz w:val="22"/>
        </w:rPr>
        <w:t xml:space="preserve">by saving the lives of </w:t>
      </w:r>
      <w:r w:rsidR="00FC6D78" w:rsidRPr="000273D8">
        <w:rPr>
          <w:sz w:val="22"/>
        </w:rPr>
        <w:t>1 million children.</w:t>
      </w:r>
      <w:r w:rsidR="004B3DBA" w:rsidRPr="000273D8">
        <w:rPr>
          <w:sz w:val="22"/>
          <w:vertAlign w:val="superscript"/>
        </w:rPr>
        <w:t>1</w:t>
      </w:r>
      <w:r w:rsidR="00FC6D78" w:rsidRPr="000273D8">
        <w:rPr>
          <w:sz w:val="22"/>
        </w:rPr>
        <w:t xml:space="preserve"> The </w:t>
      </w:r>
      <w:r w:rsidR="000E3832" w:rsidRPr="000273D8">
        <w:rPr>
          <w:sz w:val="22"/>
        </w:rPr>
        <w:t xml:space="preserve">GICC </w:t>
      </w:r>
      <w:r w:rsidR="00A17C43" w:rsidRPr="000273D8">
        <w:rPr>
          <w:sz w:val="22"/>
        </w:rPr>
        <w:t xml:space="preserve">initiative created the </w:t>
      </w:r>
      <w:proofErr w:type="spellStart"/>
      <w:r w:rsidR="006328C9" w:rsidRPr="000273D8">
        <w:rPr>
          <w:sz w:val="22"/>
        </w:rPr>
        <w:t>Cure</w:t>
      </w:r>
      <w:r w:rsidR="006328C9" w:rsidRPr="000273D8">
        <w:rPr>
          <w:i/>
          <w:sz w:val="22"/>
        </w:rPr>
        <w:t>All</w:t>
      </w:r>
      <w:proofErr w:type="spellEnd"/>
      <w:r w:rsidR="006328C9" w:rsidRPr="000273D8">
        <w:rPr>
          <w:sz w:val="22"/>
        </w:rPr>
        <w:t xml:space="preserve"> </w:t>
      </w:r>
      <w:r w:rsidR="00A17C43" w:rsidRPr="000273D8">
        <w:rPr>
          <w:sz w:val="22"/>
        </w:rPr>
        <w:t>framework</w:t>
      </w:r>
      <w:r w:rsidR="006C1A67" w:rsidRPr="000273D8">
        <w:rPr>
          <w:sz w:val="22"/>
        </w:rPr>
        <w:t xml:space="preserve"> (Figure 2)</w:t>
      </w:r>
      <w:r w:rsidR="00A17C43" w:rsidRPr="000273D8">
        <w:rPr>
          <w:sz w:val="22"/>
        </w:rPr>
        <w:t xml:space="preserve"> to provide concrete approaches to</w:t>
      </w:r>
      <w:r w:rsidR="00FC6D78" w:rsidRPr="000273D8">
        <w:rPr>
          <w:sz w:val="22"/>
        </w:rPr>
        <w:t xml:space="preserve"> increase a countr</w:t>
      </w:r>
      <w:r w:rsidR="009C7DEE" w:rsidRPr="000273D8">
        <w:rPr>
          <w:sz w:val="22"/>
        </w:rPr>
        <w:t xml:space="preserve">y’s </w:t>
      </w:r>
      <w:r w:rsidR="00FC6D78" w:rsidRPr="000273D8">
        <w:rPr>
          <w:sz w:val="22"/>
        </w:rPr>
        <w:t>capacity to provide quality services for children with cancer and prioritize childhood cancer nationally, regionally, and globally.</w:t>
      </w:r>
      <w:r w:rsidR="004B3DBA" w:rsidRPr="000273D8">
        <w:rPr>
          <w:sz w:val="22"/>
          <w:vertAlign w:val="superscript"/>
        </w:rPr>
        <w:t>1</w:t>
      </w:r>
      <w:r w:rsidR="00FC6D78" w:rsidRPr="000273D8">
        <w:rPr>
          <w:sz w:val="22"/>
        </w:rPr>
        <w:t xml:space="preserve">  </w:t>
      </w:r>
    </w:p>
    <w:p w14:paraId="2B9B2216" w14:textId="089CD2C7" w:rsidR="00524297" w:rsidRPr="000273D8" w:rsidRDefault="00FC6D78" w:rsidP="000273D8">
      <w:pPr>
        <w:spacing w:after="120" w:line="240" w:lineRule="auto"/>
        <w:ind w:right="-331"/>
        <w:rPr>
          <w:sz w:val="22"/>
        </w:rPr>
      </w:pPr>
      <w:r w:rsidRPr="000273D8">
        <w:rPr>
          <w:sz w:val="22"/>
        </w:rPr>
        <w:t>Investing in childhood cancer programs reduce</w:t>
      </w:r>
      <w:r w:rsidR="009C7DEE" w:rsidRPr="000273D8">
        <w:rPr>
          <w:sz w:val="22"/>
        </w:rPr>
        <w:t>s</w:t>
      </w:r>
      <w:r w:rsidRPr="000273D8">
        <w:rPr>
          <w:sz w:val="22"/>
        </w:rPr>
        <w:t xml:space="preserve"> economic costs</w:t>
      </w:r>
      <w:r w:rsidR="00C97FA1" w:rsidRPr="000273D8">
        <w:rPr>
          <w:sz w:val="22"/>
        </w:rPr>
        <w:t xml:space="preserve"> and mortality rates</w:t>
      </w:r>
      <w:r w:rsidRPr="000273D8">
        <w:rPr>
          <w:sz w:val="22"/>
        </w:rPr>
        <w:t xml:space="preserve">, </w:t>
      </w:r>
      <w:r w:rsidR="00C97FA1" w:rsidRPr="000273D8">
        <w:rPr>
          <w:sz w:val="22"/>
        </w:rPr>
        <w:t xml:space="preserve">which in turn promotes </w:t>
      </w:r>
      <w:r w:rsidRPr="000273D8">
        <w:rPr>
          <w:sz w:val="22"/>
        </w:rPr>
        <w:t>economic growth, workforce participation, and human capital.</w:t>
      </w:r>
      <w:r w:rsidR="004B3DBA" w:rsidRPr="000273D8">
        <w:rPr>
          <w:sz w:val="22"/>
          <w:vertAlign w:val="superscript"/>
        </w:rPr>
        <w:t>2</w:t>
      </w:r>
      <w:r w:rsidRPr="000273D8">
        <w:rPr>
          <w:sz w:val="22"/>
        </w:rPr>
        <w:t xml:space="preserve"> The Lancet Oncology Commission found that investing in coverage and quality of care could avert 6.2 million childhood cancer deaths, generating global lifetime productivity gains of $2,580 billion between 2020 to 2050. This is equivalent to a return of $3 for </w:t>
      </w:r>
      <w:r w:rsidR="00BB175B" w:rsidRPr="000273D8">
        <w:rPr>
          <w:sz w:val="22"/>
        </w:rPr>
        <w:t xml:space="preserve">each </w:t>
      </w:r>
      <w:r w:rsidRPr="000273D8">
        <w:rPr>
          <w:sz w:val="22"/>
        </w:rPr>
        <w:t>$1 invested.</w:t>
      </w:r>
      <w:r w:rsidR="004B3DBA" w:rsidRPr="000273D8">
        <w:rPr>
          <w:sz w:val="22"/>
          <w:vertAlign w:val="superscript"/>
        </w:rPr>
        <w:t>2</w:t>
      </w:r>
      <w:r w:rsidRPr="000273D8">
        <w:rPr>
          <w:sz w:val="22"/>
        </w:rPr>
        <w:t xml:space="preserve">  </w:t>
      </w:r>
    </w:p>
    <w:p w14:paraId="68D2EE3E" w14:textId="72FB4FC3" w:rsidR="00E14DBC" w:rsidRPr="00016020" w:rsidRDefault="00E14DBC" w:rsidP="00A56FD7">
      <w:pPr>
        <w:spacing w:after="120" w:line="240" w:lineRule="auto"/>
        <w:ind w:right="-331"/>
        <w:rPr>
          <w:b/>
          <w:i/>
          <w:color w:val="9E2F35"/>
        </w:rPr>
      </w:pPr>
      <w:r w:rsidRPr="00016020">
        <w:rPr>
          <w:b/>
          <w:i/>
          <w:color w:val="9E2F35"/>
        </w:rPr>
        <w:t xml:space="preserve">Figure </w:t>
      </w:r>
      <w:r>
        <w:rPr>
          <w:b/>
          <w:i/>
          <w:color w:val="9E2F35"/>
        </w:rPr>
        <w:t>2</w:t>
      </w:r>
      <w:r w:rsidRPr="00016020">
        <w:rPr>
          <w:b/>
          <w:i/>
          <w:color w:val="9E2F35"/>
        </w:rPr>
        <w:t xml:space="preserve">: </w:t>
      </w:r>
      <w:r w:rsidR="00417351">
        <w:rPr>
          <w:b/>
          <w:i/>
          <w:color w:val="9E2F35"/>
        </w:rPr>
        <w:t xml:space="preserve">WHO </w:t>
      </w:r>
      <w:r>
        <w:rPr>
          <w:b/>
          <w:i/>
          <w:color w:val="9E2F35"/>
        </w:rPr>
        <w:t xml:space="preserve">Goal, Objectives, Outputs, Activities, </w:t>
      </w:r>
      <w:r w:rsidR="00417351">
        <w:rPr>
          <w:b/>
          <w:i/>
          <w:color w:val="9E2F35"/>
        </w:rPr>
        <w:t xml:space="preserve">&amp; </w:t>
      </w:r>
      <w:r>
        <w:rPr>
          <w:b/>
          <w:i/>
          <w:color w:val="9E2F35"/>
        </w:rPr>
        <w:t>Approach for the Global Initiative for Childhood Cancer</w:t>
      </w:r>
      <w:r w:rsidR="000E3832">
        <w:rPr>
          <w:b/>
          <w:i/>
          <w:color w:val="9E2F35"/>
        </w:rPr>
        <w:t xml:space="preserve"> (GICC)</w:t>
      </w:r>
    </w:p>
    <w:p w14:paraId="4C1FEE20" w14:textId="0FE45921" w:rsidR="00FA5AF6" w:rsidRPr="000273D8" w:rsidRDefault="00FA5AF6" w:rsidP="000273D8">
      <w:pPr>
        <w:ind w:right="-331"/>
        <w:contextualSpacing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  <w:lang w:val="en-US" w:eastAsia="ko-KR"/>
        </w:rPr>
      </w:pPr>
      <w:r w:rsidRPr="000273D8">
        <w:rPr>
          <w:rFonts w:ascii="Calibri" w:hAnsi="Calibri" w:cs="Calibri"/>
          <w:noProof/>
          <w:color w:val="000000" w:themeColor="text1"/>
          <w:sz w:val="16"/>
          <w:szCs w:val="16"/>
        </w:rPr>
        <w:drawing>
          <wp:inline distT="0" distB="0" distL="0" distR="0" wp14:anchorId="45F944A8" wp14:editId="5003A8E2">
            <wp:extent cx="5537315" cy="284671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5-01-08 at 5.01.40 PM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9"/>
                    <a:stretch/>
                  </pic:blipFill>
                  <pic:spPr bwMode="auto">
                    <a:xfrm>
                      <a:off x="0" y="0"/>
                      <a:ext cx="5626145" cy="2892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BF0E3" w14:textId="17C7C8A8" w:rsidR="006C605F" w:rsidRPr="000273D8" w:rsidRDefault="00FA5AF6" w:rsidP="000273D8">
      <w:pPr>
        <w:ind w:left="810" w:right="-331"/>
        <w:contextualSpacing/>
        <w:rPr>
          <w:rFonts w:ascii="Calibri" w:eastAsia="Times New Roman" w:hAnsi="Calibri" w:cs="Calibri"/>
          <w:color w:val="000000" w:themeColor="text1"/>
          <w:sz w:val="16"/>
          <w:szCs w:val="16"/>
          <w:vertAlign w:val="superscript"/>
          <w:lang w:val="en-US" w:eastAsia="ko-KR"/>
        </w:rPr>
      </w:pPr>
      <w:r w:rsidRPr="000273D8">
        <w:rPr>
          <w:rFonts w:ascii="Calibri" w:eastAsia="Times New Roman" w:hAnsi="Calibri" w:cs="Calibri"/>
          <w:color w:val="000000" w:themeColor="text1"/>
          <w:sz w:val="16"/>
          <w:szCs w:val="16"/>
          <w:lang w:val="en-US" w:eastAsia="ko-KR"/>
        </w:rPr>
        <w:t>Adapted from the World Health Organization (2020)</w:t>
      </w:r>
      <w:r w:rsidR="004B3DBA">
        <w:rPr>
          <w:rFonts w:ascii="Calibri" w:eastAsia="Times New Roman" w:hAnsi="Calibri" w:cs="Calibri"/>
          <w:color w:val="000000" w:themeColor="text1"/>
          <w:sz w:val="16"/>
          <w:szCs w:val="16"/>
          <w:vertAlign w:val="superscript"/>
          <w:lang w:val="en-US" w:eastAsia="ko-KR"/>
        </w:rPr>
        <w:t>1</w:t>
      </w:r>
    </w:p>
    <w:p w14:paraId="7494BA08" w14:textId="0A9A1723" w:rsidR="00FC6D78" w:rsidRPr="000273D8" w:rsidRDefault="00FC6D78">
      <w:pPr>
        <w:pStyle w:val="Heading2"/>
        <w:spacing w:before="0"/>
        <w:ind w:right="-334"/>
        <w:rPr>
          <w:rFonts w:asciiTheme="majorHAnsi" w:hAnsiTheme="majorHAnsi" w:cstheme="majorHAnsi"/>
          <w:b/>
          <w:color w:val="9E2F35"/>
        </w:rPr>
      </w:pPr>
      <w:r w:rsidRPr="000273D8">
        <w:rPr>
          <w:rFonts w:asciiTheme="majorHAnsi" w:hAnsiTheme="majorHAnsi" w:cstheme="majorHAnsi"/>
          <w:b/>
          <w:color w:val="9E2F35"/>
        </w:rPr>
        <w:t xml:space="preserve">Implementing </w:t>
      </w:r>
      <w:proofErr w:type="spellStart"/>
      <w:r w:rsidRPr="000273D8">
        <w:rPr>
          <w:rFonts w:asciiTheme="majorHAnsi" w:hAnsiTheme="majorHAnsi" w:cstheme="majorHAnsi"/>
          <w:b/>
          <w:color w:val="9E2F35"/>
        </w:rPr>
        <w:t>Cure</w:t>
      </w:r>
      <w:r w:rsidRPr="000273D8">
        <w:rPr>
          <w:rFonts w:asciiTheme="majorHAnsi" w:hAnsiTheme="majorHAnsi" w:cstheme="majorHAnsi"/>
          <w:b/>
          <w:i/>
          <w:color w:val="9E2F35"/>
        </w:rPr>
        <w:t>A</w:t>
      </w:r>
      <w:r w:rsidR="00DF6772" w:rsidRPr="000273D8">
        <w:rPr>
          <w:rFonts w:asciiTheme="majorHAnsi" w:hAnsiTheme="majorHAnsi" w:cstheme="majorHAnsi"/>
          <w:b/>
          <w:i/>
          <w:color w:val="9E2F35"/>
        </w:rPr>
        <w:t>ll</w:t>
      </w:r>
      <w:proofErr w:type="spellEnd"/>
      <w:r w:rsidRPr="000273D8">
        <w:rPr>
          <w:rFonts w:asciiTheme="majorHAnsi" w:hAnsiTheme="majorHAnsi" w:cstheme="majorHAnsi"/>
          <w:b/>
          <w:color w:val="9E2F35"/>
        </w:rPr>
        <w:t xml:space="preserve"> in non-participating LMICs and HICs </w:t>
      </w:r>
    </w:p>
    <w:p w14:paraId="08B1C7BC" w14:textId="002BABFD" w:rsidR="00FC6D78" w:rsidRPr="000273D8" w:rsidRDefault="006C1A67" w:rsidP="000273D8">
      <w:pPr>
        <w:spacing w:after="0" w:line="240" w:lineRule="auto"/>
        <w:ind w:right="-331"/>
        <w:rPr>
          <w:sz w:val="22"/>
        </w:rPr>
      </w:pPr>
      <w:bookmarkStart w:id="1" w:name="_Hlk188944162"/>
      <w:r w:rsidRPr="000273D8">
        <w:rPr>
          <w:sz w:val="22"/>
        </w:rPr>
        <w:t xml:space="preserve">To reach the GICC goals of increasing childhood cancer survivorship, </w:t>
      </w:r>
      <w:r w:rsidR="00D12AB2" w:rsidRPr="000273D8">
        <w:rPr>
          <w:sz w:val="22"/>
        </w:rPr>
        <w:t>nations</w:t>
      </w:r>
      <w:r w:rsidRPr="000273D8">
        <w:rPr>
          <w:sz w:val="22"/>
        </w:rPr>
        <w:t>,</w:t>
      </w:r>
      <w:r w:rsidR="00D12AB2" w:rsidRPr="000273D8">
        <w:rPr>
          <w:sz w:val="22"/>
        </w:rPr>
        <w:t xml:space="preserve"> </w:t>
      </w:r>
      <w:r w:rsidR="00FC6D78" w:rsidRPr="000273D8">
        <w:rPr>
          <w:sz w:val="22"/>
        </w:rPr>
        <w:t xml:space="preserve">in particular those with </w:t>
      </w:r>
      <w:r w:rsidR="006328C9" w:rsidRPr="000273D8">
        <w:rPr>
          <w:sz w:val="22"/>
        </w:rPr>
        <w:t xml:space="preserve">the </w:t>
      </w:r>
      <w:r w:rsidR="00FC6D78" w:rsidRPr="000273D8">
        <w:rPr>
          <w:sz w:val="22"/>
        </w:rPr>
        <w:t>highest cancer mortality rates</w:t>
      </w:r>
      <w:r w:rsidR="009C7DEE" w:rsidRPr="000273D8">
        <w:rPr>
          <w:sz w:val="22"/>
        </w:rPr>
        <w:t>,</w:t>
      </w:r>
      <w:r w:rsidR="00D12AB2" w:rsidRPr="000273D8">
        <w:rPr>
          <w:sz w:val="22"/>
        </w:rPr>
        <w:t xml:space="preserve"> are urged</w:t>
      </w:r>
      <w:r w:rsidR="00FC6D78" w:rsidRPr="000273D8">
        <w:rPr>
          <w:sz w:val="22"/>
        </w:rPr>
        <w:t xml:space="preserve"> to implement </w:t>
      </w:r>
      <w:r w:rsidRPr="000273D8">
        <w:rPr>
          <w:sz w:val="22"/>
        </w:rPr>
        <w:t xml:space="preserve">the </w:t>
      </w:r>
      <w:proofErr w:type="spellStart"/>
      <w:r w:rsidR="006328C9" w:rsidRPr="000273D8">
        <w:rPr>
          <w:sz w:val="22"/>
        </w:rPr>
        <w:t>Cure</w:t>
      </w:r>
      <w:r w:rsidR="006328C9" w:rsidRPr="000273D8">
        <w:rPr>
          <w:i/>
          <w:sz w:val="22"/>
        </w:rPr>
        <w:t>All</w:t>
      </w:r>
      <w:proofErr w:type="spellEnd"/>
      <w:r w:rsidR="006328C9" w:rsidRPr="000273D8">
        <w:rPr>
          <w:sz w:val="22"/>
        </w:rPr>
        <w:t xml:space="preserve"> </w:t>
      </w:r>
      <w:r w:rsidR="009C7DEE" w:rsidRPr="000273D8">
        <w:rPr>
          <w:sz w:val="22"/>
        </w:rPr>
        <w:t>framework</w:t>
      </w:r>
      <w:r w:rsidR="00FC6D78" w:rsidRPr="000273D8">
        <w:rPr>
          <w:sz w:val="22"/>
        </w:rPr>
        <w:t xml:space="preserve"> through the following strategies</w:t>
      </w:r>
      <w:r w:rsidR="00A56FD7" w:rsidRPr="000273D8">
        <w:rPr>
          <w:sz w:val="22"/>
        </w:rPr>
        <w:t>:</w:t>
      </w:r>
      <w:r w:rsidR="004B3DBA" w:rsidRPr="000273D8">
        <w:rPr>
          <w:sz w:val="22"/>
          <w:vertAlign w:val="superscript"/>
        </w:rPr>
        <w:t>1</w:t>
      </w:r>
      <w:r w:rsidR="00FC6D78" w:rsidRPr="000273D8">
        <w:rPr>
          <w:sz w:val="22"/>
        </w:rPr>
        <w:t xml:space="preserve">  </w:t>
      </w:r>
    </w:p>
    <w:p w14:paraId="20FBDE99" w14:textId="5BCB1F09" w:rsidR="00FC6D78" w:rsidRPr="000273D8" w:rsidRDefault="00FC6D78" w:rsidP="000273D8">
      <w:pPr>
        <w:pStyle w:val="ListParagraph"/>
        <w:numPr>
          <w:ilvl w:val="0"/>
          <w:numId w:val="7"/>
        </w:numPr>
        <w:spacing w:after="0" w:line="240" w:lineRule="auto"/>
        <w:ind w:right="-334"/>
        <w:rPr>
          <w:sz w:val="22"/>
        </w:rPr>
      </w:pPr>
      <w:r w:rsidRPr="000273D8">
        <w:rPr>
          <w:sz w:val="22"/>
        </w:rPr>
        <w:t xml:space="preserve">Identify gaps and formulate needs </w:t>
      </w:r>
    </w:p>
    <w:p w14:paraId="1A727ECE" w14:textId="00AD1812" w:rsidR="00FC6D78" w:rsidRPr="000273D8" w:rsidRDefault="00FC6D78" w:rsidP="000273D8">
      <w:pPr>
        <w:pStyle w:val="ListParagraph"/>
        <w:numPr>
          <w:ilvl w:val="0"/>
          <w:numId w:val="7"/>
        </w:numPr>
        <w:spacing w:after="0" w:line="240" w:lineRule="auto"/>
        <w:ind w:right="-334"/>
        <w:rPr>
          <w:sz w:val="22"/>
        </w:rPr>
      </w:pPr>
      <w:r w:rsidRPr="000273D8">
        <w:rPr>
          <w:sz w:val="22"/>
        </w:rPr>
        <w:t xml:space="preserve">Collaborate and build </w:t>
      </w:r>
      <w:r w:rsidR="009C7DEE" w:rsidRPr="000273D8">
        <w:rPr>
          <w:sz w:val="22"/>
        </w:rPr>
        <w:t xml:space="preserve">cross-sectoral </w:t>
      </w:r>
      <w:r w:rsidRPr="000273D8">
        <w:rPr>
          <w:sz w:val="22"/>
        </w:rPr>
        <w:t>coalition</w:t>
      </w:r>
      <w:r w:rsidR="009C7DEE" w:rsidRPr="000273D8">
        <w:rPr>
          <w:sz w:val="22"/>
        </w:rPr>
        <w:t>s</w:t>
      </w:r>
      <w:r w:rsidRPr="000273D8">
        <w:rPr>
          <w:sz w:val="22"/>
        </w:rPr>
        <w:t xml:space="preserve"> with external partners </w:t>
      </w:r>
    </w:p>
    <w:p w14:paraId="39D4B531" w14:textId="0B812A4E" w:rsidR="00FC6D78" w:rsidRPr="000273D8" w:rsidRDefault="00FC6D78" w:rsidP="000273D8">
      <w:pPr>
        <w:pStyle w:val="ListParagraph"/>
        <w:numPr>
          <w:ilvl w:val="0"/>
          <w:numId w:val="7"/>
        </w:numPr>
        <w:spacing w:after="0" w:line="240" w:lineRule="auto"/>
        <w:ind w:right="-334"/>
        <w:rPr>
          <w:sz w:val="22"/>
        </w:rPr>
      </w:pPr>
      <w:r w:rsidRPr="000273D8">
        <w:rPr>
          <w:sz w:val="22"/>
        </w:rPr>
        <w:t xml:space="preserve">Generate data to inform ongoing decision-making </w:t>
      </w:r>
    </w:p>
    <w:p w14:paraId="09B8FFA6" w14:textId="7D2A0DF7" w:rsidR="00FC6D78" w:rsidRPr="000273D8" w:rsidRDefault="00FC6D78" w:rsidP="000273D8">
      <w:pPr>
        <w:pStyle w:val="ListParagraph"/>
        <w:numPr>
          <w:ilvl w:val="0"/>
          <w:numId w:val="7"/>
        </w:numPr>
        <w:spacing w:after="0" w:line="240" w:lineRule="auto"/>
        <w:ind w:right="-334"/>
        <w:rPr>
          <w:sz w:val="22"/>
        </w:rPr>
      </w:pPr>
      <w:r w:rsidRPr="000273D8">
        <w:rPr>
          <w:sz w:val="22"/>
        </w:rPr>
        <w:t xml:space="preserve">Formulate policy and strategic plans specific to the focus country </w:t>
      </w:r>
    </w:p>
    <w:p w14:paraId="5166AB53" w14:textId="1BDDCE5A" w:rsidR="00FC6D78" w:rsidRPr="000273D8" w:rsidRDefault="006C1A67" w:rsidP="000273D8">
      <w:pPr>
        <w:pStyle w:val="ListParagraph"/>
        <w:numPr>
          <w:ilvl w:val="0"/>
          <w:numId w:val="7"/>
        </w:numPr>
        <w:spacing w:after="0" w:line="240" w:lineRule="auto"/>
        <w:ind w:right="-334"/>
        <w:rPr>
          <w:sz w:val="22"/>
        </w:rPr>
      </w:pPr>
      <w:r w:rsidRPr="000273D8">
        <w:rPr>
          <w:sz w:val="22"/>
        </w:rPr>
        <w:t>Enact</w:t>
      </w:r>
      <w:r w:rsidR="00FC6D78" w:rsidRPr="000273D8">
        <w:rPr>
          <w:sz w:val="22"/>
        </w:rPr>
        <w:t xml:space="preserve"> levers or tools for implementing policy (i.e. design of health system organizational structures, legislations and regulation, standard-setting, incentives, enforcement and sanctions, and accreditation) </w:t>
      </w:r>
    </w:p>
    <w:p w14:paraId="09EA4F14" w14:textId="27421289" w:rsidR="00FC6D78" w:rsidRPr="000273D8" w:rsidRDefault="00FC6D78" w:rsidP="000273D8">
      <w:pPr>
        <w:pStyle w:val="ListParagraph"/>
        <w:numPr>
          <w:ilvl w:val="0"/>
          <w:numId w:val="7"/>
        </w:numPr>
        <w:spacing w:after="0" w:line="240" w:lineRule="auto"/>
        <w:ind w:right="-334"/>
        <w:rPr>
          <w:sz w:val="22"/>
        </w:rPr>
      </w:pPr>
      <w:r w:rsidRPr="000273D8">
        <w:rPr>
          <w:sz w:val="22"/>
        </w:rPr>
        <w:t>Ensure accountability through (1) government structures, policies, and processes for health sector organizations; (2) mechanisms for independent oversight</w:t>
      </w:r>
      <w:r w:rsidR="006C1A67" w:rsidRPr="000273D8">
        <w:rPr>
          <w:sz w:val="22"/>
        </w:rPr>
        <w:t xml:space="preserve">; and </w:t>
      </w:r>
      <w:r w:rsidRPr="000273D8">
        <w:rPr>
          <w:sz w:val="22"/>
        </w:rPr>
        <w:t xml:space="preserve">(3) openness to scrutiny by political representatives and civil society </w:t>
      </w:r>
    </w:p>
    <w:p w14:paraId="116881BE" w14:textId="2CCDE252" w:rsidR="00FC6D78" w:rsidRPr="000273D8" w:rsidRDefault="006C1A67" w:rsidP="000273D8">
      <w:pPr>
        <w:pStyle w:val="ListParagraph"/>
        <w:numPr>
          <w:ilvl w:val="0"/>
          <w:numId w:val="7"/>
        </w:numPr>
        <w:spacing w:after="0" w:line="240" w:lineRule="auto"/>
        <w:ind w:right="-331"/>
        <w:contextualSpacing w:val="0"/>
        <w:rPr>
          <w:sz w:val="22"/>
        </w:rPr>
      </w:pPr>
      <w:r w:rsidRPr="000273D8">
        <w:rPr>
          <w:sz w:val="22"/>
        </w:rPr>
        <w:t>Implement evaluation</w:t>
      </w:r>
      <w:r w:rsidR="00FC6D78" w:rsidRPr="000273D8">
        <w:rPr>
          <w:sz w:val="22"/>
        </w:rPr>
        <w:t xml:space="preserve">, feedback, and refinement of policies </w:t>
      </w:r>
    </w:p>
    <w:p w14:paraId="7CA349E4" w14:textId="7E355CE0" w:rsidR="00D12AB2" w:rsidRPr="000273D8" w:rsidRDefault="00D12AB2" w:rsidP="000273D8">
      <w:pPr>
        <w:spacing w:after="0" w:line="240" w:lineRule="auto"/>
        <w:ind w:right="-334"/>
        <w:rPr>
          <w:color w:val="595959" w:themeColor="text1" w:themeTint="A6"/>
          <w:sz w:val="22"/>
        </w:rPr>
      </w:pPr>
      <w:r w:rsidRPr="000273D8">
        <w:rPr>
          <w:sz w:val="22"/>
        </w:rPr>
        <w:t xml:space="preserve">Implementing the </w:t>
      </w:r>
      <w:proofErr w:type="spellStart"/>
      <w:r w:rsidR="006328C9" w:rsidRPr="000273D8">
        <w:rPr>
          <w:sz w:val="22"/>
        </w:rPr>
        <w:t>Cure</w:t>
      </w:r>
      <w:r w:rsidR="006328C9" w:rsidRPr="000273D8">
        <w:rPr>
          <w:i/>
          <w:sz w:val="22"/>
        </w:rPr>
        <w:t>All</w:t>
      </w:r>
      <w:proofErr w:type="spellEnd"/>
      <w:r w:rsidR="006328C9" w:rsidRPr="000273D8">
        <w:rPr>
          <w:sz w:val="22"/>
        </w:rPr>
        <w:t xml:space="preserve"> </w:t>
      </w:r>
      <w:r w:rsidRPr="000273D8">
        <w:rPr>
          <w:sz w:val="22"/>
        </w:rPr>
        <w:t>framework i</w:t>
      </w:r>
      <w:r w:rsidR="00196CE2" w:rsidRPr="000273D8">
        <w:rPr>
          <w:sz w:val="22"/>
        </w:rPr>
        <w:t>n non-participating nations</w:t>
      </w:r>
      <w:r w:rsidRPr="000273D8">
        <w:rPr>
          <w:sz w:val="22"/>
        </w:rPr>
        <w:t xml:space="preserve"> can help </w:t>
      </w:r>
      <w:r w:rsidR="00D11C9A" w:rsidRPr="000273D8">
        <w:rPr>
          <w:sz w:val="22"/>
        </w:rPr>
        <w:t>achieve</w:t>
      </w:r>
      <w:r w:rsidRPr="000273D8">
        <w:rPr>
          <w:sz w:val="22"/>
        </w:rPr>
        <w:t xml:space="preserve"> the GICC goals </w:t>
      </w:r>
      <w:r w:rsidR="00196CE2" w:rsidRPr="000273D8">
        <w:rPr>
          <w:sz w:val="22"/>
        </w:rPr>
        <w:t xml:space="preserve">of attaining substantively higher survival rates for children with cancer </w:t>
      </w:r>
      <w:r w:rsidR="006C1A67" w:rsidRPr="000273D8">
        <w:rPr>
          <w:sz w:val="22"/>
        </w:rPr>
        <w:t xml:space="preserve">nationally and </w:t>
      </w:r>
      <w:r w:rsidR="00196CE2" w:rsidRPr="000273D8">
        <w:rPr>
          <w:color w:val="595959" w:themeColor="text1" w:themeTint="A6"/>
          <w:sz w:val="22"/>
        </w:rPr>
        <w:t xml:space="preserve">globally. </w:t>
      </w:r>
    </w:p>
    <w:p w14:paraId="6038F3AF" w14:textId="11BF2406" w:rsidR="005C669C" w:rsidRDefault="005C669C">
      <w:pPr>
        <w:ind w:right="-334"/>
      </w:pPr>
    </w:p>
    <w:bookmarkEnd w:id="1"/>
    <w:p w14:paraId="59E72DBB" w14:textId="78128895" w:rsidR="00207863" w:rsidRPr="000273D8" w:rsidRDefault="0086067F" w:rsidP="000273D8">
      <w:pPr>
        <w:pStyle w:val="Heading3"/>
        <w:rPr>
          <w:rFonts w:asciiTheme="majorHAnsi" w:hAnsiTheme="majorHAnsi" w:cstheme="majorHAnsi"/>
          <w:b/>
          <w:sz w:val="28"/>
          <w:szCs w:val="28"/>
        </w:rPr>
      </w:pPr>
      <w:r w:rsidRPr="000273D8">
        <w:rPr>
          <w:rFonts w:asciiTheme="majorHAnsi" w:hAnsiTheme="majorHAnsi" w:cstheme="majorHAnsi"/>
          <w:b/>
          <w:color w:val="9E2F35"/>
          <w:sz w:val="28"/>
          <w:szCs w:val="28"/>
        </w:rPr>
        <w:lastRenderedPageBreak/>
        <w:t>References</w:t>
      </w:r>
    </w:p>
    <w:p w14:paraId="6A8FEF37" w14:textId="21E05731" w:rsidR="004728FD" w:rsidRPr="000273D8" w:rsidRDefault="004728FD" w:rsidP="000273D8">
      <w:pPr>
        <w:pStyle w:val="Bibliography"/>
        <w:spacing w:line="240" w:lineRule="auto"/>
        <w:rPr>
          <w:rFonts w:cs="Calibri Light"/>
          <w:color w:val="595959" w:themeColor="text1" w:themeTint="A6"/>
          <w:sz w:val="22"/>
        </w:rPr>
      </w:pPr>
      <w:r w:rsidRPr="000273D8">
        <w:rPr>
          <w:color w:val="595959" w:themeColor="text1" w:themeTint="A6"/>
        </w:rPr>
        <w:t>1.</w:t>
      </w:r>
      <w:r w:rsidRPr="000273D8">
        <w:rPr>
          <w:color w:val="595959" w:themeColor="text1" w:themeTint="A6"/>
          <w:sz w:val="22"/>
        </w:rPr>
        <w:t xml:space="preserve"> </w:t>
      </w:r>
      <w:proofErr w:type="spellStart"/>
      <w:r w:rsidR="004B3DBA" w:rsidRPr="000273D8">
        <w:rPr>
          <w:rFonts w:cs="Calibri Light"/>
          <w:i/>
          <w:iCs/>
          <w:color w:val="595959" w:themeColor="text1" w:themeTint="A6"/>
          <w:sz w:val="22"/>
        </w:rPr>
        <w:t>CureAll</w:t>
      </w:r>
      <w:proofErr w:type="spellEnd"/>
      <w:r w:rsidR="004B3DBA" w:rsidRPr="000273D8">
        <w:rPr>
          <w:rFonts w:cs="Calibri Light"/>
          <w:i/>
          <w:iCs/>
          <w:color w:val="595959" w:themeColor="text1" w:themeTint="A6"/>
          <w:sz w:val="22"/>
        </w:rPr>
        <w:t xml:space="preserve"> Framework: WHO Global Initiative for Childhood Cancer. Increasing Access, Advancing Quality, Saving Lives</w:t>
      </w:r>
      <w:r w:rsidR="004B3DBA" w:rsidRPr="000273D8">
        <w:rPr>
          <w:rFonts w:cs="Calibri Light"/>
          <w:color w:val="595959" w:themeColor="text1" w:themeTint="A6"/>
          <w:sz w:val="22"/>
        </w:rPr>
        <w:t xml:space="preserve"> (1st ed). (2021). World Health Organization.</w:t>
      </w:r>
      <w:r w:rsidRPr="000273D8">
        <w:rPr>
          <w:color w:val="595959" w:themeColor="text1" w:themeTint="A6"/>
          <w:sz w:val="22"/>
        </w:rPr>
        <w:fldChar w:fldCharType="begin"/>
      </w:r>
      <w:r w:rsidRPr="000273D8">
        <w:rPr>
          <w:color w:val="595959" w:themeColor="text1" w:themeTint="A6"/>
          <w:sz w:val="22"/>
        </w:rPr>
        <w:instrText xml:space="preserve"> ADDIN ZOTERO_BIBL {"uncited":[],"omitted":[],"custom":[]} CSL_BIBLIOGRAPHY </w:instrText>
      </w:r>
      <w:r w:rsidRPr="000273D8">
        <w:rPr>
          <w:color w:val="595959" w:themeColor="text1" w:themeTint="A6"/>
          <w:sz w:val="22"/>
        </w:rPr>
        <w:fldChar w:fldCharType="separate"/>
      </w:r>
    </w:p>
    <w:p w14:paraId="2ED8F456" w14:textId="7A0EB91C" w:rsidR="004728FD" w:rsidRPr="000273D8" w:rsidRDefault="004728FD" w:rsidP="000273D8">
      <w:pPr>
        <w:pStyle w:val="Bibliography"/>
        <w:spacing w:line="240" w:lineRule="auto"/>
        <w:rPr>
          <w:rFonts w:cs="Calibri Light"/>
          <w:color w:val="595959" w:themeColor="text1" w:themeTint="A6"/>
          <w:sz w:val="22"/>
        </w:rPr>
      </w:pPr>
      <w:r w:rsidRPr="000273D8">
        <w:rPr>
          <w:rFonts w:cs="Calibri Light"/>
          <w:iCs/>
          <w:color w:val="595959" w:themeColor="text1" w:themeTint="A6"/>
          <w:sz w:val="22"/>
        </w:rPr>
        <w:t xml:space="preserve">2. </w:t>
      </w:r>
      <w:r w:rsidR="004B3DBA" w:rsidRPr="000273D8">
        <w:rPr>
          <w:rFonts w:cs="Calibri Light"/>
          <w:color w:val="595959" w:themeColor="text1" w:themeTint="A6"/>
          <w:sz w:val="22"/>
        </w:rPr>
        <w:t xml:space="preserve">Atun, R., Bhakta, N., Denburg, A., Frazier, A. L., Friedrich, P., Gupta, S., Lam, C. G., Ward, Z. J., Yeh, J. M., Allemani, C., Coleman, M. P., Di Carlo, V., Loucaides, E., Fitchett, E., Girardi, F., Horton, S. E., Bray, F., Steliarova-Foucher, E., Sullivan, R., … Rodriguez-Galindo, C. (2020). Sustainable care for children with cancer: A Lancet Oncology Commission. </w:t>
      </w:r>
      <w:r w:rsidR="004B3DBA" w:rsidRPr="000273D8">
        <w:rPr>
          <w:rFonts w:cs="Calibri Light"/>
          <w:i/>
          <w:iCs/>
          <w:color w:val="595959" w:themeColor="text1" w:themeTint="A6"/>
          <w:sz w:val="22"/>
        </w:rPr>
        <w:t>The Lancet Oncology</w:t>
      </w:r>
      <w:r w:rsidR="004B3DBA" w:rsidRPr="000273D8">
        <w:rPr>
          <w:rFonts w:cs="Calibri Light"/>
          <w:color w:val="595959" w:themeColor="text1" w:themeTint="A6"/>
          <w:sz w:val="22"/>
        </w:rPr>
        <w:t xml:space="preserve">, </w:t>
      </w:r>
      <w:r w:rsidR="004B3DBA" w:rsidRPr="000273D8">
        <w:rPr>
          <w:rFonts w:cs="Calibri Light"/>
          <w:i/>
          <w:iCs/>
          <w:color w:val="595959" w:themeColor="text1" w:themeTint="A6"/>
          <w:sz w:val="22"/>
        </w:rPr>
        <w:t>21</w:t>
      </w:r>
      <w:r w:rsidR="004B3DBA" w:rsidRPr="000273D8">
        <w:rPr>
          <w:rFonts w:cs="Calibri Light"/>
          <w:color w:val="595959" w:themeColor="text1" w:themeTint="A6"/>
          <w:sz w:val="22"/>
        </w:rPr>
        <w:t>(4), e185–e224. https://doi.org/10.1016/S1470-2045(20)30022-X</w:t>
      </w:r>
    </w:p>
    <w:p w14:paraId="451E7DDF" w14:textId="0263D7AD" w:rsidR="004728FD" w:rsidRPr="000273D8" w:rsidRDefault="000C0F64" w:rsidP="000273D8">
      <w:pPr>
        <w:pStyle w:val="Bibliography"/>
        <w:spacing w:line="240" w:lineRule="auto"/>
        <w:rPr>
          <w:rFonts w:cs="Calibri Light"/>
          <w:color w:val="595959" w:themeColor="text1" w:themeTint="A6"/>
          <w:sz w:val="22"/>
        </w:rPr>
      </w:pPr>
      <w:r w:rsidRPr="000273D8">
        <w:rPr>
          <w:rFonts w:cs="Calibri Light"/>
          <w:color w:val="595959" w:themeColor="text1" w:themeTint="A6"/>
          <w:sz w:val="22"/>
          <w:lang w:val="en-US"/>
        </w:rPr>
        <w:t>3</w:t>
      </w:r>
      <w:r w:rsidR="004728FD" w:rsidRPr="000273D8">
        <w:rPr>
          <w:rFonts w:cs="Calibri Light"/>
          <w:color w:val="595959" w:themeColor="text1" w:themeTint="A6"/>
          <w:sz w:val="22"/>
        </w:rPr>
        <w:t xml:space="preserve">. Rodriguez-Galindo, C., Friedrich, P., Morrissey, L., &amp; Frazier, L. (2013). Global challenges in pediatric oncology. </w:t>
      </w:r>
      <w:r w:rsidR="004728FD" w:rsidRPr="000273D8">
        <w:rPr>
          <w:rFonts w:cs="Calibri Light"/>
          <w:i/>
          <w:iCs/>
          <w:color w:val="595959" w:themeColor="text1" w:themeTint="A6"/>
          <w:sz w:val="22"/>
        </w:rPr>
        <w:t>Current Opinion in Pediatrics</w:t>
      </w:r>
      <w:r w:rsidR="004728FD" w:rsidRPr="000273D8">
        <w:rPr>
          <w:rFonts w:cs="Calibri Light"/>
          <w:color w:val="595959" w:themeColor="text1" w:themeTint="A6"/>
          <w:sz w:val="22"/>
        </w:rPr>
        <w:t xml:space="preserve">, </w:t>
      </w:r>
      <w:r w:rsidR="004728FD" w:rsidRPr="000273D8">
        <w:rPr>
          <w:rFonts w:cs="Calibri Light"/>
          <w:i/>
          <w:iCs/>
          <w:color w:val="595959" w:themeColor="text1" w:themeTint="A6"/>
          <w:sz w:val="22"/>
        </w:rPr>
        <w:t>25</w:t>
      </w:r>
      <w:r w:rsidR="004728FD" w:rsidRPr="000273D8">
        <w:rPr>
          <w:rFonts w:cs="Calibri Light"/>
          <w:color w:val="595959" w:themeColor="text1" w:themeTint="A6"/>
          <w:sz w:val="22"/>
        </w:rPr>
        <w:t>(1), 3–15. https://doi.org/10.1097/MOP.0b013e32835c1cbe</w:t>
      </w:r>
    </w:p>
    <w:p w14:paraId="7CA92BB4" w14:textId="1B7886D5" w:rsidR="004728FD" w:rsidRDefault="004728FD" w:rsidP="00786778">
      <w:pPr>
        <w:pStyle w:val="NoSpacing"/>
        <w:tabs>
          <w:tab w:val="left" w:pos="9360"/>
        </w:tabs>
        <w:ind w:right="-334"/>
        <w:rPr>
          <w:color w:val="auto"/>
        </w:rPr>
      </w:pPr>
      <w:r w:rsidRPr="000273D8">
        <w:rPr>
          <w:color w:val="595959" w:themeColor="text1" w:themeTint="A6"/>
          <w:sz w:val="22"/>
        </w:rPr>
        <w:fldChar w:fldCharType="end"/>
      </w:r>
    </w:p>
    <w:p w14:paraId="6BAAF46C" w14:textId="77777777" w:rsidR="000C0F64" w:rsidRPr="00FA5AF6" w:rsidRDefault="000C0F64" w:rsidP="000273D8">
      <w:pPr>
        <w:pStyle w:val="NoSpacing"/>
        <w:tabs>
          <w:tab w:val="left" w:pos="9360"/>
        </w:tabs>
        <w:ind w:right="-334"/>
        <w:rPr>
          <w:color w:val="9E2F35"/>
        </w:rPr>
      </w:pPr>
    </w:p>
    <w:sectPr w:rsidR="000C0F64" w:rsidRPr="00FA5AF6" w:rsidSect="000273D8">
      <w:headerReference w:type="default" r:id="rId10"/>
      <w:headerReference w:type="first" r:id="rId11"/>
      <w:pgSz w:w="11906" w:h="16838"/>
      <w:pgMar w:top="864" w:right="1440" w:bottom="432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97DE2" w14:textId="77777777" w:rsidR="006B64D5" w:rsidRDefault="006B64D5" w:rsidP="008130E9">
      <w:pPr>
        <w:spacing w:after="0" w:line="240" w:lineRule="auto"/>
      </w:pPr>
      <w:r>
        <w:separator/>
      </w:r>
    </w:p>
  </w:endnote>
  <w:endnote w:type="continuationSeparator" w:id="0">
    <w:p w14:paraId="6D67B274" w14:textId="77777777" w:rsidR="006B64D5" w:rsidRDefault="006B64D5" w:rsidP="0081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9F05F" w14:textId="77777777" w:rsidR="006B64D5" w:rsidRDefault="006B64D5" w:rsidP="008130E9">
      <w:pPr>
        <w:spacing w:after="0" w:line="240" w:lineRule="auto"/>
      </w:pPr>
      <w:r>
        <w:separator/>
      </w:r>
    </w:p>
  </w:footnote>
  <w:footnote w:type="continuationSeparator" w:id="0">
    <w:p w14:paraId="719597FC" w14:textId="77777777" w:rsidR="006B64D5" w:rsidRDefault="006B64D5" w:rsidP="008130E9">
      <w:pPr>
        <w:spacing w:after="0" w:line="240" w:lineRule="auto"/>
      </w:pPr>
      <w:r>
        <w:continuationSeparator/>
      </w:r>
    </w:p>
  </w:footnote>
  <w:footnote w:id="1">
    <w:p w14:paraId="76F13D07" w14:textId="430AAD1C" w:rsidR="000C0F64" w:rsidRPr="000273D8" w:rsidRDefault="000C0F64" w:rsidP="000273D8">
      <w:pPr>
        <w:pStyle w:val="CommentText"/>
        <w:ind w:right="-334"/>
      </w:pPr>
      <w:r w:rsidRPr="000273D8">
        <w:rPr>
          <w:rStyle w:val="FootnoteReference"/>
          <w:sz w:val="16"/>
          <w:szCs w:val="16"/>
        </w:rPr>
        <w:footnoteRef/>
      </w:r>
      <w:r w:rsidRPr="000273D8">
        <w:rPr>
          <w:sz w:val="16"/>
          <w:szCs w:val="16"/>
        </w:rPr>
        <w:t xml:space="preserve"> </w:t>
      </w:r>
      <w:r w:rsidRPr="000273D8">
        <w:t xml:space="preserve">Authors acknowledge the support from </w:t>
      </w:r>
      <w:proofErr w:type="spellStart"/>
      <w:r w:rsidRPr="000273D8">
        <w:t>Eun</w:t>
      </w:r>
      <w:proofErr w:type="spellEnd"/>
      <w:r w:rsidRPr="000273D8">
        <w:t xml:space="preserve"> Mi Jung, Logan G Spector, </w:t>
      </w:r>
      <w:proofErr w:type="spellStart"/>
      <w:r w:rsidRPr="000273D8">
        <w:t>Byungmi</w:t>
      </w:r>
      <w:proofErr w:type="spellEnd"/>
      <w:r w:rsidRPr="000273D8">
        <w:t xml:space="preserve"> Kim in the creation of this brief.</w:t>
      </w:r>
    </w:p>
    <w:p w14:paraId="1FBF3140" w14:textId="77777777" w:rsidR="000C0F64" w:rsidRPr="000C0F64" w:rsidRDefault="000C0F64" w:rsidP="000C0F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0602" w14:textId="77777777" w:rsidR="00DF13F0" w:rsidRDefault="00DF13F0" w:rsidP="00DF13F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1F04" w14:textId="6803579B" w:rsidR="00DF13F0" w:rsidRDefault="00091453">
    <w:pPr>
      <w:pStyle w:val="Header"/>
    </w:pPr>
    <w:r>
      <w:rPr>
        <w:rFonts w:asciiTheme="minorHAnsi" w:eastAsia="Montserrat Medium" w:hAnsiTheme="minorHAnsi" w:cstheme="minorHAnsi"/>
        <w:b/>
        <w:bCs/>
        <w:i/>
        <w:iCs/>
        <w:noProof/>
        <w:color w:val="000000" w:themeColor="text1"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42FC6C" wp14:editId="6EFE72D6">
              <wp:simplePos x="0" y="0"/>
              <wp:positionH relativeFrom="column">
                <wp:posOffset>-906780</wp:posOffset>
              </wp:positionH>
              <wp:positionV relativeFrom="paragraph">
                <wp:posOffset>-441960</wp:posOffset>
              </wp:positionV>
              <wp:extent cx="7559040" cy="828675"/>
              <wp:effectExtent l="0" t="0" r="1016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828675"/>
                      </a:xfrm>
                      <a:prstGeom prst="rect">
                        <a:avLst/>
                      </a:prstGeom>
                      <a:solidFill>
                        <a:srgbClr val="580102"/>
                      </a:solidFill>
                      <a:ln w="6350">
                        <a:solidFill>
                          <a:srgbClr val="580102"/>
                        </a:solidFill>
                      </a:ln>
                    </wps:spPr>
                    <wps:txbx>
                      <w:txbxContent>
                        <w:p w14:paraId="7F3949B2" w14:textId="4FD2303F" w:rsidR="00091453" w:rsidRDefault="007A1C33" w:rsidP="00304521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color w:val="FFFFFF" w:themeColor="background1"/>
                              <w:sz w:val="48"/>
                              <w:szCs w:val="48"/>
                            </w:rPr>
                            <w:t xml:space="preserve">   </w:t>
                          </w:r>
                          <w:r w:rsidR="00A56FD7">
                            <w:rPr>
                              <w:rFonts w:ascii="Cambria" w:hAnsi="Cambria"/>
                              <w:color w:val="FFFFFF" w:themeColor="background1"/>
                              <w:sz w:val="48"/>
                              <w:szCs w:val="48"/>
                            </w:rPr>
                            <w:t xml:space="preserve">  </w:t>
                          </w:r>
                          <w:r w:rsidR="00091453">
                            <w:rPr>
                              <w:rFonts w:ascii="Cambria" w:hAnsi="Cambria"/>
                              <w:color w:val="FFFFFF" w:themeColor="background1"/>
                              <w:sz w:val="48"/>
                              <w:szCs w:val="48"/>
                            </w:rPr>
                            <w:t xml:space="preserve">Boston College | </w:t>
                          </w:r>
                          <w:r w:rsidR="00091453" w:rsidRPr="00091453">
                            <w:rPr>
                              <w:rFonts w:ascii="Cambria" w:hAnsi="Cambria"/>
                              <w:color w:val="FFFFFF" w:themeColor="background1"/>
                              <w:sz w:val="32"/>
                              <w:szCs w:val="32"/>
                            </w:rPr>
                            <w:t>INSTITUTE OF</w:t>
                          </w:r>
                          <w:r w:rsidR="00091453" w:rsidRPr="00C02502">
                            <w:rPr>
                              <w:rFonts w:ascii="Cambria" w:hAnsi="Cambria"/>
                              <w:color w:val="FFFFFF" w:themeColor="background1"/>
                              <w:sz w:val="22"/>
                            </w:rPr>
                            <w:t xml:space="preserve"> </w:t>
                          </w:r>
                        </w:p>
                        <w:p w14:paraId="3E59315D" w14:textId="635B6880" w:rsidR="00091453" w:rsidRPr="00091453" w:rsidRDefault="00091453" w:rsidP="00091453">
                          <w:pPr>
                            <w:rPr>
                              <w:rFonts w:ascii="Cambria" w:hAnsi="Cambria"/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</w:t>
                          </w:r>
                          <w:r>
                            <w:rPr>
                              <w:rFonts w:ascii="Cambria" w:hAnsi="Cambria"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  <w:t xml:space="preserve">       </w:t>
                          </w:r>
                          <w:r w:rsidR="007A1C33">
                            <w:rPr>
                              <w:rFonts w:ascii="Cambria" w:hAnsi="Cambria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</w:t>
                          </w:r>
                          <w:r w:rsidR="00A56FD7">
                            <w:rPr>
                              <w:rFonts w:ascii="Cambria" w:hAnsi="Cambria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C02502">
                            <w:rPr>
                              <w:rFonts w:ascii="Cambria" w:hAnsi="Cambria"/>
                              <w:color w:val="FFFFFF" w:themeColor="background1"/>
                              <w:sz w:val="32"/>
                              <w:szCs w:val="32"/>
                            </w:rPr>
                            <w:t>EARLY CHILDHOOD POLICY</w:t>
                          </w:r>
                        </w:p>
                        <w:p w14:paraId="340E602A" w14:textId="094D93FD" w:rsidR="00091453" w:rsidRPr="00C02502" w:rsidRDefault="00091453" w:rsidP="00091453">
                          <w:pPr>
                            <w:rPr>
                              <w:rFonts w:ascii="Cambria" w:hAnsi="Cambria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1181746D" w14:textId="77777777" w:rsidR="00091453" w:rsidRPr="00D81935" w:rsidRDefault="00091453" w:rsidP="00091453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2FC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71.4pt;margin-top:-34.8pt;width:595.2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" fillcolor="#580102" strokecolor="#580102" strokeweight=".5pt">
              <v:textbox>
                <w:txbxContent>
                  <w:p w14:paraId="7F3949B2" w14:textId="4FD2303F" w:rsidR="00091453" w:rsidRDefault="007A1C33" w:rsidP="00304521">
                    <w:pPr>
                      <w:spacing w:after="0" w:line="240" w:lineRule="auto"/>
                      <w:rPr>
                        <w:rFonts w:ascii="Cambria" w:hAnsi="Cambria"/>
                        <w:color w:val="FFFFFF" w:themeColor="background1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 w:themeColor="background1"/>
                        <w:sz w:val="48"/>
                        <w:szCs w:val="48"/>
                      </w:rPr>
                      <w:t xml:space="preserve">   </w:t>
                    </w:r>
                    <w:r w:rsidR="00A56FD7">
                      <w:rPr>
                        <w:rFonts w:ascii="Cambria" w:hAnsi="Cambria"/>
                        <w:color w:val="FFFFFF" w:themeColor="background1"/>
                        <w:sz w:val="48"/>
                        <w:szCs w:val="48"/>
                      </w:rPr>
                      <w:t xml:space="preserve">  </w:t>
                    </w:r>
                    <w:r w:rsidR="00091453">
                      <w:rPr>
                        <w:rFonts w:ascii="Cambria" w:hAnsi="Cambria"/>
                        <w:color w:val="FFFFFF" w:themeColor="background1"/>
                        <w:sz w:val="48"/>
                        <w:szCs w:val="48"/>
                      </w:rPr>
                      <w:t xml:space="preserve">Boston College | </w:t>
                    </w:r>
                    <w:r w:rsidR="00091453" w:rsidRPr="00091453">
                      <w:rPr>
                        <w:rFonts w:ascii="Cambria" w:hAnsi="Cambria"/>
                        <w:color w:val="FFFFFF" w:themeColor="background1"/>
                        <w:sz w:val="32"/>
                        <w:szCs w:val="32"/>
                      </w:rPr>
                      <w:t>INSTITUTE OF</w:t>
                    </w:r>
                    <w:r w:rsidR="00091453" w:rsidRPr="00C02502">
                      <w:rPr>
                        <w:rFonts w:ascii="Cambria" w:hAnsi="Cambria"/>
                        <w:color w:val="FFFFFF" w:themeColor="background1"/>
                        <w:sz w:val="22"/>
                      </w:rPr>
                      <w:t xml:space="preserve"> </w:t>
                    </w:r>
                  </w:p>
                  <w:p w14:paraId="3E59315D" w14:textId="635B6880" w:rsidR="00091453" w:rsidRPr="00091453" w:rsidRDefault="00091453" w:rsidP="00091453">
                    <w:pPr>
                      <w:rPr>
                        <w:rFonts w:ascii="Cambria" w:hAnsi="Cambria"/>
                        <w:color w:val="FFFFFF" w:themeColor="background1"/>
                        <w:sz w:val="22"/>
                      </w:rPr>
                    </w:pPr>
                    <w:r>
                      <w:rPr>
                        <w:rFonts w:ascii="Cambria" w:hAnsi="Cambria"/>
                        <w:color w:val="FFFFFF" w:themeColor="background1"/>
                        <w:sz w:val="32"/>
                        <w:szCs w:val="32"/>
                      </w:rPr>
                      <w:t xml:space="preserve">     </w:t>
                    </w:r>
                    <w:r>
                      <w:rPr>
                        <w:rFonts w:ascii="Cambria" w:hAnsi="Cambria"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Cambria" w:hAnsi="Cambria"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Cambria" w:hAnsi="Cambria"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Cambria" w:hAnsi="Cambria"/>
                        <w:color w:val="FFFFFF" w:themeColor="background1"/>
                        <w:sz w:val="32"/>
                        <w:szCs w:val="32"/>
                      </w:rPr>
                      <w:tab/>
                      <w:t xml:space="preserve">       </w:t>
                    </w:r>
                    <w:r w:rsidR="007A1C33">
                      <w:rPr>
                        <w:rFonts w:ascii="Cambria" w:hAnsi="Cambria"/>
                        <w:color w:val="FFFFFF" w:themeColor="background1"/>
                        <w:sz w:val="32"/>
                        <w:szCs w:val="32"/>
                      </w:rPr>
                      <w:t xml:space="preserve">     </w:t>
                    </w:r>
                    <w:r w:rsidR="00A56FD7">
                      <w:rPr>
                        <w:rFonts w:ascii="Cambria" w:hAnsi="Cambria"/>
                        <w:color w:val="FFFFFF" w:themeColor="background1"/>
                        <w:sz w:val="32"/>
                        <w:szCs w:val="32"/>
                      </w:rPr>
                      <w:t xml:space="preserve">  </w:t>
                    </w:r>
                    <w:r w:rsidRPr="00C02502">
                      <w:rPr>
                        <w:rFonts w:ascii="Cambria" w:hAnsi="Cambria"/>
                        <w:color w:val="FFFFFF" w:themeColor="background1"/>
                        <w:sz w:val="32"/>
                        <w:szCs w:val="32"/>
                      </w:rPr>
                      <w:t>EARLY CHILDHOOD POLICY</w:t>
                    </w:r>
                  </w:p>
                  <w:p w14:paraId="340E602A" w14:textId="094D93FD" w:rsidR="00091453" w:rsidRPr="00C02502" w:rsidRDefault="00091453" w:rsidP="00091453">
                    <w:pPr>
                      <w:rPr>
                        <w:rFonts w:ascii="Cambria" w:hAnsi="Cambria"/>
                        <w:color w:val="FFFFFF" w:themeColor="background1"/>
                        <w:sz w:val="48"/>
                        <w:szCs w:val="48"/>
                      </w:rPr>
                    </w:pPr>
                  </w:p>
                  <w:p w14:paraId="1181746D" w14:textId="77777777" w:rsidR="00091453" w:rsidRPr="00D81935" w:rsidRDefault="00091453" w:rsidP="00091453">
                    <w:pPr>
                      <w:rPr>
                        <w:rFonts w:ascii="Calibri" w:hAnsi="Calibri" w:cs="Calibri"/>
                        <w:color w:val="FFFFFF" w:themeColor="background1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eastAsia="Montserrat Medium" w:hAnsiTheme="minorHAnsi" w:cstheme="minorHAnsi"/>
        <w:b/>
        <w:bCs/>
        <w:i/>
        <w:iCs/>
        <w:noProof/>
        <w:color w:val="000000" w:themeColor="text1"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F4F47A" wp14:editId="6592E815">
              <wp:simplePos x="0" y="0"/>
              <wp:positionH relativeFrom="column">
                <wp:posOffset>4572000</wp:posOffset>
              </wp:positionH>
              <wp:positionV relativeFrom="paragraph">
                <wp:posOffset>-335280</wp:posOffset>
              </wp:positionV>
              <wp:extent cx="1533525" cy="648070"/>
              <wp:effectExtent l="0" t="0" r="28575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648070"/>
                      </a:xfrm>
                      <a:prstGeom prst="rect">
                        <a:avLst/>
                      </a:prstGeom>
                      <a:solidFill>
                        <a:srgbClr val="580102"/>
                      </a:solidFill>
                      <a:ln w="6350">
                        <a:solidFill>
                          <a:srgbClr val="580102"/>
                        </a:solidFill>
                      </a:ln>
                    </wps:spPr>
                    <wps:txbx>
                      <w:txbxContent>
                        <w:p w14:paraId="52FACC31" w14:textId="77777777" w:rsidR="00091453" w:rsidRPr="00C02502" w:rsidRDefault="00091453" w:rsidP="00091453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02502">
                            <w:rPr>
                              <w:rFonts w:ascii="Cambria" w:hAnsi="Cambria"/>
                              <w:color w:val="FFFFFF" w:themeColor="background1"/>
                              <w:sz w:val="32"/>
                              <w:szCs w:val="32"/>
                            </w:rPr>
                            <w:t>POLICY BRIEF</w:t>
                          </w:r>
                        </w:p>
                        <w:p w14:paraId="7A784AA4" w14:textId="062677CF" w:rsidR="00091453" w:rsidRPr="00091453" w:rsidRDefault="007A1C33" w:rsidP="00091453">
                          <w:pPr>
                            <w:jc w:val="right"/>
                            <w:rPr>
                              <w:rFonts w:ascii="Cambria" w:hAnsi="Cambri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color w:val="FFFFFF" w:themeColor="background1"/>
                              <w:sz w:val="24"/>
                              <w:szCs w:val="24"/>
                            </w:rPr>
                            <w:t>February</w:t>
                          </w:r>
                          <w:r w:rsidR="00091453" w:rsidRPr="00091453">
                            <w:rPr>
                              <w:rFonts w:ascii="Cambria" w:hAnsi="Cambria"/>
                              <w:color w:val="FFFFFF" w:themeColor="background1"/>
                              <w:sz w:val="24"/>
                              <w:szCs w:val="24"/>
                            </w:rPr>
                            <w:t>, 202</w:t>
                          </w:r>
                          <w:r w:rsidR="00207863">
                            <w:rPr>
                              <w:rFonts w:ascii="Cambria" w:hAnsi="Cambria"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15EA783F" w14:textId="77777777" w:rsidR="00091453" w:rsidRPr="00D81935" w:rsidRDefault="00091453" w:rsidP="00091453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3F4F47A" id="Text Box 3" o:spid="_x0000_s1028" type="#_x0000_t202" style="position:absolute;margin-left:5in;margin-top:-26.4pt;width:120.75pt;height:51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" fillcolor="#580102" strokecolor="#580102" strokeweight=".5pt">
              <v:textbox>
                <w:txbxContent>
                  <w:p w14:paraId="52FACC31" w14:textId="77777777" w:rsidR="00091453" w:rsidRPr="00C02502" w:rsidRDefault="00091453" w:rsidP="00091453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color w:val="FFFFFF" w:themeColor="background1"/>
                        <w:sz w:val="32"/>
                        <w:szCs w:val="32"/>
                      </w:rPr>
                    </w:pPr>
                    <w:r w:rsidRPr="00C02502">
                      <w:rPr>
                        <w:rFonts w:ascii="Cambria" w:hAnsi="Cambria"/>
                        <w:color w:val="FFFFFF" w:themeColor="background1"/>
                        <w:sz w:val="32"/>
                        <w:szCs w:val="32"/>
                      </w:rPr>
                      <w:t>POLICY BRIEF</w:t>
                    </w:r>
                  </w:p>
                  <w:p w14:paraId="7A784AA4" w14:textId="062677CF" w:rsidR="00091453" w:rsidRPr="00091453" w:rsidRDefault="007A1C33" w:rsidP="00091453">
                    <w:pPr>
                      <w:jc w:val="right"/>
                      <w:rPr>
                        <w:rFonts w:ascii="Cambria" w:hAnsi="Cambri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color w:val="FFFFFF" w:themeColor="background1"/>
                        <w:sz w:val="24"/>
                        <w:szCs w:val="24"/>
                      </w:rPr>
                      <w:t>February</w:t>
                    </w:r>
                    <w:r w:rsidR="00091453" w:rsidRPr="00091453">
                      <w:rPr>
                        <w:rFonts w:ascii="Cambria" w:hAnsi="Cambria"/>
                        <w:color w:val="FFFFFF" w:themeColor="background1"/>
                        <w:sz w:val="24"/>
                        <w:szCs w:val="24"/>
                      </w:rPr>
                      <w:t>, 202</w:t>
                    </w:r>
                    <w:r w:rsidR="00207863">
                      <w:rPr>
                        <w:rFonts w:ascii="Cambria" w:hAnsi="Cambria"/>
                        <w:color w:val="FFFFFF" w:themeColor="background1"/>
                        <w:sz w:val="24"/>
                        <w:szCs w:val="24"/>
                      </w:rPr>
                      <w:t>5</w:t>
                    </w:r>
                  </w:p>
                  <w:p w14:paraId="15EA783F" w14:textId="77777777" w:rsidR="00091453" w:rsidRPr="00D81935" w:rsidRDefault="00091453" w:rsidP="00091453">
                    <w:pPr>
                      <w:rPr>
                        <w:rFonts w:ascii="Calibri" w:hAnsi="Calibri" w:cs="Calibri"/>
                        <w:color w:val="FFFFFF" w:themeColor="background1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  <w:r w:rsidR="00DB1D9D"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111851" wp14:editId="6344D2D0">
              <wp:simplePos x="0" y="0"/>
              <wp:positionH relativeFrom="column">
                <wp:posOffset>58420</wp:posOffset>
              </wp:positionH>
              <wp:positionV relativeFrom="paragraph">
                <wp:posOffset>814704</wp:posOffset>
              </wp:positionV>
              <wp:extent cx="5800725" cy="0"/>
              <wp:effectExtent l="0" t="0" r="3175" b="0"/>
              <wp:wrapNone/>
              <wp:docPr id="4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>
                        <a:solidFill>
                          <a:srgbClr val="5953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64A01" id="Straight Connector 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6pt,64.15pt" to="461.3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" strokecolor="#595347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.1pt;height:133.15pt;visibility:visible;mso-wrap-style:square" o:bullet="t">
        <v:imagedata r:id="rId1" o:title="" croptop="9547f" cropbottom="30590f" cropleft="12144f" cropright="31901f"/>
      </v:shape>
    </w:pict>
  </w:numPicBullet>
  <w:abstractNum w:abstractNumId="0" w15:restartNumberingAfterBreak="0">
    <w:nsid w:val="022A3E28"/>
    <w:multiLevelType w:val="hybridMultilevel"/>
    <w:tmpl w:val="C9624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753"/>
    <w:multiLevelType w:val="hybridMultilevel"/>
    <w:tmpl w:val="ED24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308E"/>
    <w:multiLevelType w:val="hybridMultilevel"/>
    <w:tmpl w:val="FFB8C7DC"/>
    <w:lvl w:ilvl="0" w:tplc="F1A4CE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A8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67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FE1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0F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1EC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E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66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8A7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36596E"/>
    <w:multiLevelType w:val="hybridMultilevel"/>
    <w:tmpl w:val="D25E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F3640"/>
    <w:multiLevelType w:val="multilevel"/>
    <w:tmpl w:val="C7D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B2D6F"/>
    <w:multiLevelType w:val="hybridMultilevel"/>
    <w:tmpl w:val="B7AA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F6BC2"/>
    <w:multiLevelType w:val="hybridMultilevel"/>
    <w:tmpl w:val="819E2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A7F10"/>
    <w:multiLevelType w:val="hybridMultilevel"/>
    <w:tmpl w:val="D1D8F0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DC41A23"/>
    <w:multiLevelType w:val="hybridMultilevel"/>
    <w:tmpl w:val="6B2038B8"/>
    <w:lvl w:ilvl="0" w:tplc="78D4FA50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F"/>
    <w:rsid w:val="000075F4"/>
    <w:rsid w:val="00016020"/>
    <w:rsid w:val="00023D9D"/>
    <w:rsid w:val="000273D8"/>
    <w:rsid w:val="0004336A"/>
    <w:rsid w:val="000700A6"/>
    <w:rsid w:val="00091453"/>
    <w:rsid w:val="000C0F64"/>
    <w:rsid w:val="000D21E7"/>
    <w:rsid w:val="000E3832"/>
    <w:rsid w:val="001115D5"/>
    <w:rsid w:val="00123230"/>
    <w:rsid w:val="00147A27"/>
    <w:rsid w:val="00191293"/>
    <w:rsid w:val="00196CE2"/>
    <w:rsid w:val="001C5E70"/>
    <w:rsid w:val="001D5139"/>
    <w:rsid w:val="001F48D6"/>
    <w:rsid w:val="00207863"/>
    <w:rsid w:val="00222A0F"/>
    <w:rsid w:val="0023061E"/>
    <w:rsid w:val="002538FB"/>
    <w:rsid w:val="00275C56"/>
    <w:rsid w:val="0028375E"/>
    <w:rsid w:val="00296FC5"/>
    <w:rsid w:val="00304521"/>
    <w:rsid w:val="00350A20"/>
    <w:rsid w:val="00375E25"/>
    <w:rsid w:val="0038170B"/>
    <w:rsid w:val="003B4AE6"/>
    <w:rsid w:val="003D14D2"/>
    <w:rsid w:val="003E4DB6"/>
    <w:rsid w:val="003F0410"/>
    <w:rsid w:val="00400066"/>
    <w:rsid w:val="004054FB"/>
    <w:rsid w:val="00417351"/>
    <w:rsid w:val="00427C38"/>
    <w:rsid w:val="00437579"/>
    <w:rsid w:val="004728FD"/>
    <w:rsid w:val="00491971"/>
    <w:rsid w:val="004B3DBA"/>
    <w:rsid w:val="004D25D9"/>
    <w:rsid w:val="00524297"/>
    <w:rsid w:val="005427D2"/>
    <w:rsid w:val="005665CD"/>
    <w:rsid w:val="005C669C"/>
    <w:rsid w:val="005D73F1"/>
    <w:rsid w:val="005F692D"/>
    <w:rsid w:val="00600011"/>
    <w:rsid w:val="006130D5"/>
    <w:rsid w:val="006328C9"/>
    <w:rsid w:val="00653C3C"/>
    <w:rsid w:val="00673482"/>
    <w:rsid w:val="0069337E"/>
    <w:rsid w:val="006A3F03"/>
    <w:rsid w:val="006B64D5"/>
    <w:rsid w:val="006C1A67"/>
    <w:rsid w:val="006C605F"/>
    <w:rsid w:val="006F6F2A"/>
    <w:rsid w:val="007222FF"/>
    <w:rsid w:val="007334C4"/>
    <w:rsid w:val="007354F7"/>
    <w:rsid w:val="00741592"/>
    <w:rsid w:val="0077362B"/>
    <w:rsid w:val="00786778"/>
    <w:rsid w:val="007A1C33"/>
    <w:rsid w:val="008130E9"/>
    <w:rsid w:val="00851E7A"/>
    <w:rsid w:val="0086067F"/>
    <w:rsid w:val="008A6A93"/>
    <w:rsid w:val="00913F70"/>
    <w:rsid w:val="0097223B"/>
    <w:rsid w:val="00974F66"/>
    <w:rsid w:val="00976D7A"/>
    <w:rsid w:val="0098664D"/>
    <w:rsid w:val="009B5BB6"/>
    <w:rsid w:val="009C79B7"/>
    <w:rsid w:val="009C7DEE"/>
    <w:rsid w:val="009D2F45"/>
    <w:rsid w:val="00A04782"/>
    <w:rsid w:val="00A17C43"/>
    <w:rsid w:val="00A56FD7"/>
    <w:rsid w:val="00A736D9"/>
    <w:rsid w:val="00A80943"/>
    <w:rsid w:val="00A92FB5"/>
    <w:rsid w:val="00AB0415"/>
    <w:rsid w:val="00AE379C"/>
    <w:rsid w:val="00AF7516"/>
    <w:rsid w:val="00B01714"/>
    <w:rsid w:val="00B334E4"/>
    <w:rsid w:val="00B554A2"/>
    <w:rsid w:val="00B732D7"/>
    <w:rsid w:val="00B7459A"/>
    <w:rsid w:val="00B7719A"/>
    <w:rsid w:val="00B8062B"/>
    <w:rsid w:val="00BA14B0"/>
    <w:rsid w:val="00BB175B"/>
    <w:rsid w:val="00BC00BD"/>
    <w:rsid w:val="00BE224A"/>
    <w:rsid w:val="00C27B75"/>
    <w:rsid w:val="00C319CA"/>
    <w:rsid w:val="00C36FDD"/>
    <w:rsid w:val="00C56156"/>
    <w:rsid w:val="00C97FA1"/>
    <w:rsid w:val="00CC2C01"/>
    <w:rsid w:val="00CD527F"/>
    <w:rsid w:val="00CE0288"/>
    <w:rsid w:val="00D11C9A"/>
    <w:rsid w:val="00D12AB2"/>
    <w:rsid w:val="00D83258"/>
    <w:rsid w:val="00D9166D"/>
    <w:rsid w:val="00DB0843"/>
    <w:rsid w:val="00DB1D9D"/>
    <w:rsid w:val="00DF13F0"/>
    <w:rsid w:val="00DF21FA"/>
    <w:rsid w:val="00DF6772"/>
    <w:rsid w:val="00E14DBC"/>
    <w:rsid w:val="00E33C38"/>
    <w:rsid w:val="00E403B1"/>
    <w:rsid w:val="00E618A5"/>
    <w:rsid w:val="00E73675"/>
    <w:rsid w:val="00E80AB8"/>
    <w:rsid w:val="00EB02CB"/>
    <w:rsid w:val="00ED4297"/>
    <w:rsid w:val="00F63E44"/>
    <w:rsid w:val="00F82EB9"/>
    <w:rsid w:val="00FA5AF6"/>
    <w:rsid w:val="00FB3CCF"/>
    <w:rsid w:val="00FC6D78"/>
    <w:rsid w:val="00FD6BC3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A6405"/>
  <w15:docId w15:val="{DFC76D5B-1757-41D3-95F9-AF051CAE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67F"/>
    <w:rPr>
      <w:rFonts w:ascii="Calibri Light" w:hAnsi="Calibri Light"/>
      <w:color w:val="595347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293"/>
    <w:pPr>
      <w:keepNext/>
      <w:keepLines/>
      <w:spacing w:before="240" w:after="0"/>
      <w:outlineLvl w:val="0"/>
    </w:pPr>
    <w:rPr>
      <w:rFonts w:ascii="Franklin Gothic Medium Cond" w:eastAsiaTheme="majorEastAsia" w:hAnsi="Franklin Gothic Medium Cond" w:cstheme="majorBidi"/>
      <w:color w:val="C45911" w:themeColor="accen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293"/>
    <w:pPr>
      <w:keepNext/>
      <w:keepLines/>
      <w:spacing w:before="240" w:after="0"/>
      <w:outlineLvl w:val="1"/>
    </w:pPr>
    <w:rPr>
      <w:rFonts w:ascii="Franklin Gothic Medium Cond" w:eastAsiaTheme="majorEastAsia" w:hAnsi="Franklin Gothic Medium Cond" w:cstheme="majorBidi"/>
      <w:color w:val="C45911" w:themeColor="accent2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1293"/>
    <w:pPr>
      <w:keepNext/>
      <w:keepLines/>
      <w:spacing w:before="40" w:after="0"/>
      <w:outlineLvl w:val="2"/>
    </w:pPr>
    <w:rPr>
      <w:rFonts w:ascii="Franklin Gothic Demi Cond" w:eastAsiaTheme="majorEastAsia" w:hAnsi="Franklin Gothic Demi Cond" w:cstheme="majorBidi"/>
      <w:color w:val="ED7D31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293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b/>
      <w:i/>
      <w:iCs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293"/>
    <w:rPr>
      <w:rFonts w:ascii="Franklin Gothic Medium Cond" w:eastAsiaTheme="majorEastAsia" w:hAnsi="Franklin Gothic Medium Cond" w:cstheme="majorBidi"/>
      <w:color w:val="C45911" w:themeColor="accen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1293"/>
    <w:rPr>
      <w:rFonts w:ascii="Franklin Gothic Medium Cond" w:eastAsiaTheme="majorEastAsia" w:hAnsi="Franklin Gothic Medium Cond" w:cstheme="majorBidi"/>
      <w:color w:val="C45911" w:themeColor="accent2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8606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0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6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67F"/>
    <w:rPr>
      <w:rFonts w:ascii="Calibri Light" w:hAnsi="Calibri Light"/>
      <w:color w:val="595347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067F"/>
    <w:pPr>
      <w:spacing w:after="0" w:line="240" w:lineRule="auto"/>
      <w:contextualSpacing/>
    </w:pPr>
    <w:rPr>
      <w:rFonts w:ascii="Franklin Gothic Medium Cond" w:eastAsiaTheme="majorEastAsia" w:hAnsi="Franklin Gothic Medium Cond" w:cstheme="majorBidi"/>
      <w:color w:val="EF7C00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67F"/>
    <w:rPr>
      <w:rFonts w:ascii="Franklin Gothic Medium Cond" w:eastAsiaTheme="majorEastAsia" w:hAnsi="Franklin Gothic Medium Cond" w:cstheme="majorBidi"/>
      <w:color w:val="EF7C00"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860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67F"/>
    <w:rPr>
      <w:rFonts w:ascii="Calibri Light" w:hAnsi="Calibri Light"/>
      <w:color w:val="595347"/>
      <w:sz w:val="20"/>
    </w:rPr>
  </w:style>
  <w:style w:type="paragraph" w:styleId="Footer">
    <w:name w:val="footer"/>
    <w:basedOn w:val="Normal"/>
    <w:link w:val="FooterChar"/>
    <w:uiPriority w:val="99"/>
    <w:unhideWhenUsed/>
    <w:rsid w:val="00860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67F"/>
    <w:rPr>
      <w:rFonts w:ascii="Calibri Light" w:hAnsi="Calibri Light"/>
      <w:color w:val="595347"/>
      <w:sz w:val="20"/>
    </w:rPr>
  </w:style>
  <w:style w:type="table" w:styleId="TableGrid">
    <w:name w:val="Table Grid"/>
    <w:basedOn w:val="TableNormal"/>
    <w:uiPriority w:val="39"/>
    <w:rsid w:val="0086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067F"/>
    <w:pPr>
      <w:spacing w:before="160" w:after="240" w:line="300" w:lineRule="auto"/>
    </w:pPr>
    <w:rPr>
      <w:rFonts w:eastAsia="Meiryo" w:cs="Times New Roman"/>
      <w:noProof/>
      <w:sz w:val="32"/>
      <w:szCs w:val="32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86067F"/>
    <w:rPr>
      <w:rFonts w:ascii="Calibri Light" w:eastAsia="Meiryo" w:hAnsi="Calibri Light" w:cs="Times New Roman"/>
      <w:noProof/>
      <w:color w:val="595347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7F"/>
    <w:rPr>
      <w:rFonts w:ascii="Segoe UI" w:hAnsi="Segoe UI" w:cs="Segoe UI"/>
      <w:color w:val="595347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1293"/>
    <w:rPr>
      <w:rFonts w:ascii="Franklin Gothic Demi Cond" w:eastAsiaTheme="majorEastAsia" w:hAnsi="Franklin Gothic Demi Cond" w:cstheme="majorBidi"/>
      <w:color w:val="ED7D31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293"/>
    <w:rPr>
      <w:rFonts w:ascii="Franklin Gothic Book" w:eastAsiaTheme="majorEastAsia" w:hAnsi="Franklin Gothic Book" w:cstheme="majorBidi"/>
      <w:b/>
      <w:i/>
      <w:iCs/>
      <w:color w:val="ED7D31" w:themeColor="accent2"/>
      <w:sz w:val="20"/>
    </w:rPr>
  </w:style>
  <w:style w:type="paragraph" w:styleId="NoSpacing">
    <w:name w:val="No Spacing"/>
    <w:uiPriority w:val="1"/>
    <w:qFormat/>
    <w:rsid w:val="00E33C38"/>
    <w:pPr>
      <w:spacing w:after="0" w:line="240" w:lineRule="auto"/>
    </w:pPr>
    <w:rPr>
      <w:rFonts w:ascii="Calibri Light" w:hAnsi="Calibri Light"/>
      <w:color w:val="595347"/>
      <w:sz w:val="20"/>
    </w:rPr>
  </w:style>
  <w:style w:type="character" w:styleId="Hyperlink">
    <w:name w:val="Hyperlink"/>
    <w:basedOn w:val="DefaultParagraphFont"/>
    <w:uiPriority w:val="99"/>
    <w:unhideWhenUsed/>
    <w:rsid w:val="004054F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4F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4FB"/>
    <w:rPr>
      <w:rFonts w:ascii="Calibri Light" w:hAnsi="Calibri Light"/>
      <w:color w:val="595347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4F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E14D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4DB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C56"/>
    <w:rPr>
      <w:rFonts w:ascii="Calibri Light" w:hAnsi="Calibri Light"/>
      <w:b/>
      <w:bCs/>
      <w:color w:val="595347"/>
      <w:sz w:val="20"/>
      <w:szCs w:val="20"/>
    </w:rPr>
  </w:style>
  <w:style w:type="paragraph" w:styleId="Revision">
    <w:name w:val="Revision"/>
    <w:hidden/>
    <w:uiPriority w:val="99"/>
    <w:semiHidden/>
    <w:rsid w:val="00FA5AF6"/>
    <w:pPr>
      <w:spacing w:after="0" w:line="240" w:lineRule="auto"/>
    </w:pPr>
    <w:rPr>
      <w:rFonts w:ascii="Calibri Light" w:hAnsi="Calibri Light"/>
      <w:color w:val="595347"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4728FD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D693-D037-4401-91F4-8F17FC7C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London School of Hygiene &amp; Tropical Medicine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Becker</dc:creator>
  <cp:keywords/>
  <dc:description/>
  <cp:lastModifiedBy>Rebekah Coley</cp:lastModifiedBy>
  <cp:revision>2</cp:revision>
  <dcterms:created xsi:type="dcterms:W3CDTF">2025-02-21T16:54:00Z</dcterms:created>
  <dcterms:modified xsi:type="dcterms:W3CDTF">2025-02-21T16:54:00Z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id="je2gxvAB"/&gt;&lt;style id="http://www.zotero.org/styles/apa" locale="en-US" hasBibliography="1" bibliographyStyleHasBeenSet="1"/&gt;&lt;prefs&gt;&lt;pref name="fieldType" value="Field"/&gt;&lt;/prefs&gt;&lt;/data&gt;</vt:lpwstr>
  </property>
</Properties>
</file>